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C6CDF5">
      <w:pPr>
        <w:spacing w:line="360" w:lineRule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</w:p>
    <w:p w14:paraId="2A0A68EF">
      <w:pPr>
        <w:pStyle w:val="3"/>
        <w:ind w:firstLine="640"/>
      </w:pPr>
    </w:p>
    <w:p w14:paraId="11846D09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河北省文化和旅游发展“十五五”规划</w:t>
      </w:r>
    </w:p>
    <w:p w14:paraId="38671E4A">
      <w:pPr>
        <w:spacing w:line="560" w:lineRule="exact"/>
        <w:jc w:val="center"/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bookmarkStart w:id="0" w:name="_Toc14341"/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征求意见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稿）</w:t>
      </w:r>
    </w:p>
    <w:p w14:paraId="1B991D97">
      <w:pPr>
        <w:pStyle w:val="3"/>
        <w:ind w:firstLine="640"/>
      </w:pPr>
    </w:p>
    <w:p w14:paraId="312DC901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为推动全省文化事业、文化产业和旅游业高质量发展，根据《文化和旅游发展“十五五”规划》《旅游强国建设“十五五”规划》和《河北省国民经济和社会发展第十五个五年规划纲要》，立足全省文化和旅游发展实际，制定本规划。</w:t>
      </w:r>
    </w:p>
    <w:bookmarkEnd w:id="0"/>
    <w:p w14:paraId="1E67636E">
      <w:pPr>
        <w:spacing w:line="560" w:lineRule="exact"/>
        <w:ind w:firstLine="640" w:firstLineChars="200"/>
        <w:jc w:val="left"/>
        <w:outlineLvl w:val="0"/>
        <w:rPr>
          <w:rFonts w:hint="eastAsia" w:ascii="黑体" w:hAnsi="黑体" w:eastAsia="黑体" w:cs="黑体"/>
          <w:sz w:val="32"/>
          <w:szCs w:val="32"/>
        </w:rPr>
      </w:pPr>
      <w:bookmarkStart w:id="1" w:name="_Toc5221"/>
      <w:bookmarkStart w:id="2" w:name="_Toc4210"/>
      <w:bookmarkStart w:id="3" w:name="_Toc31082"/>
      <w:bookmarkStart w:id="4" w:name="_Toc22270"/>
      <w:r>
        <w:rPr>
          <w:rFonts w:hint="eastAsia" w:ascii="黑体" w:hAnsi="黑体" w:eastAsia="黑体" w:cs="黑体"/>
          <w:sz w:val="32"/>
          <w:szCs w:val="32"/>
        </w:rPr>
        <w:t>一、总体要求</w:t>
      </w:r>
      <w:bookmarkEnd w:id="1"/>
      <w:bookmarkEnd w:id="2"/>
      <w:bookmarkEnd w:id="3"/>
    </w:p>
    <w:bookmarkEnd w:id="4"/>
    <w:p w14:paraId="215F80E5">
      <w:pPr>
        <w:pStyle w:val="10"/>
        <w:spacing w:line="560" w:lineRule="exact"/>
        <w:ind w:firstLine="64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坚持以习近平新时代中国特色社会主义思想为指导，全面贯彻党的二十大和二十届历次全会精神，深入学习贯彻习近平文化思想，坚持以社会主义核心价值观为引领，以推动高质量发展为主题，以推进文旅深度融合为主线，以改革创新为根本动力，统筹推动文化事业、文化产业和旅游业发展，加快建设文化强省，通过传承和发展相结合推动文化繁荣兴盛实现关键性蝶变，更好满足人民群众精神文化生活需要，把文化产业、旅游业培育成为支柱产业、民生产业、幸福产业，为加快建设经济强省、美丽河北贡献文旅力量。</w:t>
      </w:r>
    </w:p>
    <w:p w14:paraId="5AD2DA36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到2030年，文化创新创造活力不断激发，文化和旅游融合发展走深走实，文化赋能、旅游带动作用充分显现。文艺精品创作量质齐升，公共文化服务体系不断完善，居民年人均接受公共文化设施服务达3.5次，文化遗产保护传承全面加强。文化产业集群规模不断扩大，全省文化及相关产业增加值稳步增长。旅游供给体系日臻完善，新业态新场景竞相涌现，接待游客总人次年均增长6%—8%，河北文化和旅游影响力显著提高。</w:t>
      </w:r>
    </w:p>
    <w:p w14:paraId="42CCC965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“十五五”时期，着力构建“四脉传承、一体协同、五带支撑、多点成网”全省文化和旅游发展新格局。</w:t>
      </w:r>
    </w:p>
    <w:p w14:paraId="66611998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——传承特色鲜明的四大文化脉系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中华文明起源发展脉系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：稳步推进阳原泥河湾遗址群、宣化郑家沟遗址、邺城遗址、元中都遗址等重点遗址的考古发掘、学术研究与成果转化，为中华文明探源提供更多实证。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燕赵文化传承创新脉系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：深入阐释弘扬慷慨悲歌、重信尚义、开放包容、务实进取的文化内核，继承厚重历史文脉，守护燕赵文化根脉，以挖掘文化精神激活时代价值。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红色文化赓续发展脉系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：加强西柏坡精神、塞罕坝精神等革命文化研究传播，强化红色资源连片保护、统筹利用，传承红色基因。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社会主义先进文化引领脉系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：紧扣京津冀协同发展和雄安新区建设发展等重大国家战略，弘扬雄安“未来之城”等燕赵文化创新传承的时代意义，打造新时代社会主义先进文化的实践载体与传播窗口。</w:t>
      </w:r>
    </w:p>
    <w:p w14:paraId="3BBA0F37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——深入推进京津冀文化和旅游协同发展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。健全常态化对接合作机制，推动资源互补、线路互通、游客互送、品牌共塑、市场共建，打造文化和旅游区域一体化发展样板。</w:t>
      </w:r>
    </w:p>
    <w:p w14:paraId="678D7C2F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——建设五大文化旅游带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。</w:t>
      </w:r>
      <w:bookmarkStart w:id="5" w:name="OLE_LINK1"/>
      <w:r>
        <w:rPr>
          <w:rFonts w:hint="eastAsia" w:ascii="仿宋_GB2312" w:hAnsi="仿宋_GB2312" w:eastAsia="仿宋_GB2312" w:cs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京张体育文化旅游带</w:t>
      </w:r>
      <w:bookmarkEnd w:id="5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：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大力发展后奥运经济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，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充分利用奥运遗产，整合区域优势资源，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推进体育文化旅游多产融合，打造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冰雪运动与休闲旅游胜地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长城文化旅游带：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发挥长城国家文化公园重点建设区优势，强化长城文化遗产系统性整体性保护，深度挖掘阐释河北长城历史文脉与文化内涵。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大运河文化旅游带：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把保护放在首要位置，突出活态传承、合理利用，将沿线优质资源转化为可感知、可参与、可消费的文旅产品，推动生态治理、城市更新与运河文化互促共进。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太行山文化旅游带：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深挖太行山文化底蕴和生态资源优势，发展文化体验、康养度假、山地运动等多元业态，以文旅赋能乡村振兴。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渤海滨海文化旅游带：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完善滨海旅游配套设施、休闲体验业态，丰富近海观光、滨海休闲、邮轮游艇、海岛旅游等产品体系，助力海洋经济高质量发展和临港产业强省建设。</w:t>
      </w:r>
    </w:p>
    <w:p w14:paraId="3FBE136D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——形成百花齐放的“多点”布局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。完善城市旅游休闲体系，打造一批重点旅游城市；大力发展县域旅游，推动文旅赋能县域特色产业发展；推动重点景区、旅游度假区、文博场馆、古村古镇等深挖当地特色文化，通过实景演艺、互动体验和科技赋能，丰富文旅新业态新场景，打造更多区域流量综合体。</w:t>
      </w:r>
    </w:p>
    <w:p w14:paraId="6610155D">
      <w:pPr>
        <w:spacing w:line="580" w:lineRule="exact"/>
        <w:ind w:firstLine="640" w:firstLineChars="200"/>
        <w:jc w:val="left"/>
        <w:outlineLvl w:val="0"/>
        <w:rPr>
          <w:rFonts w:hint="eastAsia" w:ascii="黑体" w:hAnsi="黑体" w:eastAsia="黑体" w:cs="黑体"/>
          <w:sz w:val="32"/>
          <w:szCs w:val="32"/>
        </w:rPr>
      </w:pPr>
      <w:bookmarkStart w:id="6" w:name="_Toc26258"/>
      <w:bookmarkStart w:id="7" w:name="_Toc6510"/>
      <w:bookmarkStart w:id="8" w:name="_Toc20508"/>
      <w:r>
        <w:rPr>
          <w:rFonts w:hint="eastAsia" w:ascii="黑体" w:hAnsi="黑体" w:eastAsia="黑体" w:cs="黑体"/>
          <w:sz w:val="32"/>
          <w:szCs w:val="32"/>
        </w:rPr>
        <w:t>二、以文化和旅游服务国家战略实施</w:t>
      </w:r>
      <w:bookmarkEnd w:id="6"/>
      <w:bookmarkEnd w:id="7"/>
      <w:bookmarkEnd w:id="8"/>
    </w:p>
    <w:p w14:paraId="2551D76F">
      <w:pPr>
        <w:spacing w:line="560" w:lineRule="exact"/>
        <w:ind w:firstLine="640" w:firstLineChars="200"/>
        <w:outlineLvl w:val="1"/>
        <w:rPr>
          <w:rFonts w:hint="eastAsia" w:ascii="楷体_GB2312" w:hAnsi="楷体_GB2312" w:eastAsia="楷体_GB2312" w:cs="楷体_GB2312"/>
          <w:sz w:val="32"/>
          <w:szCs w:val="32"/>
        </w:rPr>
      </w:pPr>
      <w:bookmarkStart w:id="9" w:name="_Toc31616"/>
      <w:bookmarkStart w:id="10" w:name="_Toc13943"/>
      <w:bookmarkStart w:id="11" w:name="_Toc14418"/>
      <w:r>
        <w:rPr>
          <w:rFonts w:hint="eastAsia" w:ascii="楷体_GB2312" w:hAnsi="楷体_GB2312" w:eastAsia="楷体_GB2312" w:cs="楷体_GB2312"/>
          <w:sz w:val="32"/>
          <w:szCs w:val="32"/>
        </w:rPr>
        <w:t>（一）助力雄安新区建设彰显文化魅力的现代化城市</w:t>
      </w:r>
    </w:p>
    <w:p w14:paraId="4CD38791"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守护未来之城的历史文脉。支持开展南阳遗址、古州城遗址考古研究阐释。加强对文物资源的数字化采集、展示。推动白洋淀旅游高质量发展。统筹推进白洋淀生态保护和合理利用，实施白洋淀5A级景区提质升级行动。推动景村融合发展，加强旅游市场整治，打造乡村旅游特色片区。打造“游雄安，看未来”城市旅游品牌，丰富“未来之城”主题游径。依托千年秀林、中央绿谷等，发展休闲文旅新业态、新场景、新空间。助力雄安打造文化高地。支持雄安公共文化服务设施建设，引入更多国家及京津优质文化资源。指导发展科幻、会展、漫剧等文化产业，打造文旅OPC创新社区。</w:t>
      </w:r>
    </w:p>
    <w:p w14:paraId="484C005F">
      <w:pPr>
        <w:spacing w:line="560" w:lineRule="exact"/>
        <w:ind w:firstLine="640" w:firstLineChars="200"/>
        <w:outlineLvl w:val="1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（二）深入推动京津冀文旅协同发展</w:t>
      </w:r>
    </w:p>
    <w:p w14:paraId="3102CA1C"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44"/>
          <w:szCs w:val="44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促进京津冀文化和旅游融合发展。推动文化交流共享，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促进</w:t>
      </w:r>
      <w:r>
        <w:rPr>
          <w:rFonts w:hint="eastAsia" w:ascii="仿宋_GB2312" w:hAnsi="仿宋_GB2312" w:eastAsia="仿宋_GB2312" w:cs="仿宋_GB2312"/>
          <w:sz w:val="32"/>
          <w:szCs w:val="32"/>
        </w:rPr>
        <w:t>三地公共文化资源共享。扎实推进京张体育文化旅游带建设，壮大后奥运经济，支持崇礼建设国际冰雪旅游目的地。实施环京津县域旅游强基提效行动，加密京津冀旅游直通车线路。丰富京蔚高速、国家“一号风景大道”等沿线旅游新场景。激发区域文旅消费活力。推动京津冀旅游景区联票提质扩面，支持联票与更多业态跨界融合。推动三地联动举办文旅促消费活动。</w:t>
      </w:r>
    </w:p>
    <w:p w14:paraId="1353F42D">
      <w:pPr>
        <w:spacing w:line="560" w:lineRule="exact"/>
        <w:ind w:firstLine="640" w:firstLineChars="200"/>
        <w:outlineLvl w:val="1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（三）建好用好国家文化公园</w:t>
      </w:r>
    </w:p>
    <w:p w14:paraId="1EAEA1D6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44"/>
          <w:szCs w:val="44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高质量推进长城国家文化公园（河北段）建设。实施《河北省长城保护规划（2026—2035年）》，</w:t>
      </w:r>
      <w:r>
        <w:rPr>
          <w:rFonts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推动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长城</w:t>
      </w:r>
      <w:r>
        <w:rPr>
          <w:rFonts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文化遗产系统性保护和统一监管督察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，常态化开展长城巡查检查工作。创排长城主题文艺精品，办好“长城脚下话非遗”“长城之约”等文化交流和传播活动。</w:t>
      </w:r>
      <w:r>
        <w:rPr>
          <w:rFonts w:hint="eastAsia" w:ascii="仿宋_GB2312" w:hAnsi="仿宋_GB2312" w:eastAsia="仿宋_GB2312" w:cs="仿宋_GB2312"/>
          <w:sz w:val="32"/>
          <w:lang w:val="zh-TW"/>
        </w:rPr>
        <w:t>高质量推进大运河国家文化公园（河北段）建设。修编《大运河河北段遗产保护规划》，常态化开展大运河文化遗产保护巡查工作。</w:t>
      </w:r>
      <w:r>
        <w:rPr>
          <w:rFonts w:hint="eastAsia" w:ascii="仿宋_GB2312" w:hAnsi="仿宋_GB2312" w:eastAsia="仿宋_GB2312" w:cs="仿宋_GB2312"/>
          <w:sz w:val="32"/>
        </w:rPr>
        <w:t>深化对大运河沿线</w:t>
      </w:r>
      <w:r>
        <w:rPr>
          <w:rFonts w:hint="eastAsia" w:ascii="仿宋_GB2312" w:hAnsi="仿宋_GB2312" w:eastAsia="仿宋_GB2312" w:cs="仿宋_GB2312"/>
          <w:sz w:val="32"/>
          <w:lang w:val="zh-TW"/>
        </w:rPr>
        <w:t>非物质文化遗产的保护和开发利用，</w:t>
      </w:r>
      <w:r>
        <w:rPr>
          <w:rFonts w:hint="eastAsia" w:ascii="仿宋_GB2312" w:hAnsi="仿宋_GB2312" w:eastAsia="仿宋_GB2312" w:cs="仿宋_GB2312"/>
          <w:sz w:val="32"/>
        </w:rPr>
        <w:t>打造“大运长河”文化旅游品牌</w:t>
      </w:r>
      <w:r>
        <w:rPr>
          <w:rFonts w:hint="eastAsia" w:ascii="仿宋_GB2312" w:hAnsi="仿宋_GB2312" w:eastAsia="仿宋_GB2312" w:cs="仿宋_GB2312"/>
          <w:sz w:val="32"/>
          <w:lang w:val="zh-TW"/>
        </w:rPr>
        <w:t>。</w:t>
      </w:r>
      <w:bookmarkEnd w:id="9"/>
      <w:bookmarkEnd w:id="10"/>
      <w:bookmarkEnd w:id="11"/>
    </w:p>
    <w:p w14:paraId="6854E87D">
      <w:pPr>
        <w:spacing w:line="560" w:lineRule="exact"/>
        <w:ind w:firstLine="640" w:firstLineChars="200"/>
        <w:jc w:val="left"/>
        <w:outlineLvl w:val="0"/>
        <w:rPr>
          <w:rFonts w:hint="eastAsia" w:ascii="黑体" w:hAnsi="黑体" w:eastAsia="黑体" w:cs="黑体"/>
          <w:sz w:val="32"/>
          <w:szCs w:val="32"/>
        </w:rPr>
      </w:pPr>
      <w:bookmarkStart w:id="12" w:name="_Toc21695"/>
      <w:bookmarkStart w:id="13" w:name="_Toc10954"/>
      <w:bookmarkStart w:id="14" w:name="_Toc7546"/>
      <w:r>
        <w:rPr>
          <w:rFonts w:hint="eastAsia" w:ascii="黑体" w:hAnsi="黑体" w:eastAsia="黑体" w:cs="黑体"/>
          <w:sz w:val="32"/>
          <w:szCs w:val="32"/>
        </w:rPr>
        <w:t>三、</w:t>
      </w:r>
      <w:bookmarkEnd w:id="12"/>
      <w:bookmarkEnd w:id="13"/>
      <w:bookmarkEnd w:id="14"/>
      <w:r>
        <w:rPr>
          <w:rFonts w:hint="eastAsia" w:ascii="黑体" w:hAnsi="黑体" w:eastAsia="黑体" w:cs="黑体"/>
          <w:sz w:val="32"/>
          <w:szCs w:val="32"/>
        </w:rPr>
        <w:t>繁荣艺术创作生产</w:t>
      </w:r>
    </w:p>
    <w:p w14:paraId="0E4DA783">
      <w:pPr>
        <w:spacing w:line="560" w:lineRule="exact"/>
        <w:ind w:firstLine="640" w:firstLineChars="200"/>
        <w:outlineLvl w:val="1"/>
        <w:rPr>
          <w:rFonts w:hint="eastAsia" w:ascii="楷体_GB2312" w:hAnsi="楷体_GB2312" w:eastAsia="楷体_GB2312" w:cs="楷体_GB2312"/>
          <w:sz w:val="32"/>
          <w:szCs w:val="32"/>
        </w:rPr>
      </w:pPr>
      <w:bookmarkStart w:id="15" w:name="_Toc17060"/>
      <w:bookmarkStart w:id="16" w:name="_Toc25086"/>
      <w:bookmarkStart w:id="17" w:name="_Toc25774"/>
      <w:r>
        <w:rPr>
          <w:rFonts w:hint="eastAsia" w:ascii="楷体_GB2312" w:hAnsi="楷体_GB2312" w:eastAsia="楷体_GB2312" w:cs="楷体_GB2312"/>
          <w:sz w:val="32"/>
          <w:szCs w:val="32"/>
        </w:rPr>
        <w:t>（一）深化优秀文艺作品</w:t>
      </w:r>
      <w:bookmarkEnd w:id="15"/>
      <w:bookmarkEnd w:id="16"/>
      <w:bookmarkEnd w:id="17"/>
      <w:r>
        <w:rPr>
          <w:rFonts w:hint="eastAsia" w:ascii="楷体_GB2312" w:hAnsi="楷体_GB2312" w:eastAsia="楷体_GB2312" w:cs="楷体_GB2312"/>
          <w:sz w:val="32"/>
          <w:szCs w:val="32"/>
        </w:rPr>
        <w:t>创作</w:t>
      </w:r>
    </w:p>
    <w:p w14:paraId="4868EC0A"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健全文艺创作机制，建立重大主题与燕赵文化选题储备库，加大优秀剧本创作扶持力度，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不断提升文化原创能力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。实施河北省舞台艺术精品工程，推出一批具有河北辨识度、全国影响力的精品力作。加强艺术门类和品种分类指导，重点扶持河北梆子、评剧等优势剧种，加强对濒危剧种、稀有剧种的保护传承。持续开展美术采风创作活动。</w:t>
      </w:r>
    </w:p>
    <w:p w14:paraId="28AA3283">
      <w:pPr>
        <w:spacing w:line="560" w:lineRule="exact"/>
        <w:ind w:firstLine="640" w:firstLineChars="200"/>
        <w:outlineLvl w:val="1"/>
        <w:rPr>
          <w:rFonts w:hint="eastAsia" w:ascii="楷体_GB2312" w:hAnsi="楷体_GB2312" w:eastAsia="楷体_GB2312" w:cs="楷体_GB2312"/>
          <w:sz w:val="32"/>
          <w:szCs w:val="32"/>
        </w:rPr>
      </w:pPr>
      <w:bookmarkStart w:id="18" w:name="_Toc21069"/>
      <w:bookmarkStart w:id="19" w:name="_Toc23857"/>
      <w:bookmarkStart w:id="20" w:name="_Toc18347"/>
      <w:bookmarkStart w:id="21" w:name="_Toc28519"/>
      <w:bookmarkStart w:id="22" w:name="_Toc13453"/>
      <w:bookmarkStart w:id="23" w:name="_Toc22081"/>
      <w:bookmarkStart w:id="24" w:name="_Toc26856"/>
      <w:r>
        <w:rPr>
          <w:rFonts w:hint="eastAsia" w:ascii="楷体_GB2312" w:hAnsi="楷体_GB2312" w:eastAsia="楷体_GB2312" w:cs="楷体_GB2312"/>
          <w:sz w:val="32"/>
          <w:szCs w:val="32"/>
        </w:rPr>
        <w:t>（二）创新艺术展演展示传播</w:t>
      </w:r>
      <w:bookmarkEnd w:id="18"/>
      <w:bookmarkEnd w:id="19"/>
      <w:bookmarkEnd w:id="20"/>
      <w:bookmarkEnd w:id="21"/>
    </w:p>
    <w:p w14:paraId="2D7C84A9">
      <w:pPr>
        <w:pStyle w:val="5"/>
        <w:spacing w:line="560" w:lineRule="exact"/>
        <w:ind w:left="0" w:leftChars="0" w:firstLine="640" w:firstLineChars="200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办好中国吴桥国际杂技艺术节、全国戏曲（北方片）会演等</w:t>
      </w:r>
      <w:r>
        <w:rPr>
          <w:rFonts w:ascii="仿宋_GB2312" w:hAnsi="仿宋_GB2312" w:eastAsia="仿宋_GB2312"/>
          <w:sz w:val="32"/>
          <w:szCs w:val="32"/>
        </w:rPr>
        <w:t>品牌活动</w:t>
      </w:r>
      <w:r>
        <w:rPr>
          <w:rFonts w:hint="eastAsia" w:ascii="仿宋_GB2312" w:hAnsi="仿宋_GB2312" w:eastAsia="仿宋_GB2312"/>
          <w:sz w:val="32"/>
          <w:szCs w:val="32"/>
        </w:rPr>
        <w:t>，</w:t>
      </w:r>
      <w:r>
        <w:rPr>
          <w:rFonts w:ascii="仿宋_GB2312" w:hAnsi="仿宋_GB2312" w:eastAsia="仿宋_GB2312"/>
          <w:sz w:val="32"/>
          <w:szCs w:val="32"/>
        </w:rPr>
        <w:t>创新</w:t>
      </w:r>
      <w:r>
        <w:rPr>
          <w:rFonts w:hint="eastAsia" w:ascii="仿宋_GB2312" w:hAnsi="仿宋_GB2312" w:eastAsia="仿宋_GB2312"/>
          <w:sz w:val="32"/>
          <w:szCs w:val="32"/>
        </w:rPr>
        <w:t>举办</w:t>
      </w:r>
      <w:r>
        <w:rPr>
          <w:rFonts w:ascii="仿宋_GB2312" w:hAnsi="仿宋_GB2312" w:eastAsia="仿宋_GB2312"/>
          <w:sz w:val="32"/>
          <w:szCs w:val="32"/>
        </w:rPr>
        <w:t>河北省戏剧节、京津冀戏曲展演季等特色活动</w:t>
      </w:r>
      <w:r>
        <w:rPr>
          <w:rFonts w:hint="eastAsia" w:ascii="仿宋_GB2312" w:hAnsi="仿宋_GB2312" w:eastAsia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深入开展“戏曲进校园”“高雅艺术进校园”，创新艺术展演展示形式，丰富互动体验，提升群众艺术鉴赏力与审美素养。</w:t>
      </w:r>
      <w:r>
        <w:rPr>
          <w:rFonts w:hint="eastAsia" w:ascii="仿宋_GB2312" w:hAnsi="仿宋_GB2312" w:eastAsia="仿宋_GB2312"/>
          <w:sz w:val="32"/>
          <w:szCs w:val="32"/>
        </w:rPr>
        <w:t>鼓励发展业态融合、形式创新的演艺新空间，打造轻量化、IP化演艺产品。推动文艺院团和演出院线合作，促进剧场和剧目资源有机整合。</w:t>
      </w:r>
    </w:p>
    <w:p w14:paraId="410B02DF">
      <w:pPr>
        <w:spacing w:line="560" w:lineRule="exact"/>
        <w:ind w:firstLine="640" w:firstLineChars="200"/>
        <w:outlineLvl w:val="1"/>
        <w:rPr>
          <w:rFonts w:hint="eastAsia" w:ascii="楷体_GB2312" w:hAnsi="楷体_GB2312" w:eastAsia="楷体_GB2312" w:cs="楷体_GB2312"/>
          <w:sz w:val="32"/>
          <w:szCs w:val="32"/>
        </w:rPr>
      </w:pPr>
      <w:bookmarkStart w:id="25" w:name="_Toc31654"/>
      <w:bookmarkStart w:id="26" w:name="_Toc24150"/>
      <w:bookmarkStart w:id="27" w:name="_Toc32684"/>
      <w:bookmarkStart w:id="28" w:name="_Toc22660"/>
      <w:r>
        <w:rPr>
          <w:rFonts w:hint="eastAsia" w:ascii="楷体_GB2312" w:hAnsi="楷体_GB2312" w:eastAsia="楷体_GB2312" w:cs="楷体_GB2312"/>
          <w:sz w:val="32"/>
          <w:szCs w:val="32"/>
        </w:rPr>
        <w:t>（三）营造良好文化生态</w:t>
      </w:r>
      <w:bookmarkEnd w:id="22"/>
      <w:bookmarkEnd w:id="23"/>
      <w:bookmarkEnd w:id="24"/>
      <w:bookmarkEnd w:id="25"/>
      <w:bookmarkEnd w:id="26"/>
      <w:bookmarkEnd w:id="27"/>
      <w:bookmarkEnd w:id="28"/>
    </w:p>
    <w:p w14:paraId="7EEC64FD">
      <w:pPr>
        <w:widowControl/>
        <w:spacing w:line="560" w:lineRule="exact"/>
        <w:ind w:firstLine="640" w:firstLineChars="200"/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完善文艺院团建设发展机制，强化分类指导和精准施策，</w:t>
      </w:r>
      <w:r>
        <w:rPr>
          <w:rFonts w:hint="eastAsia" w:ascii="仿宋_GB2312" w:hAnsi="仿宋_GB2312" w:eastAsia="仿宋_GB2312"/>
          <w:sz w:val="32"/>
          <w:szCs w:val="32"/>
        </w:rPr>
        <w:t>加强对基层文艺院团的指导。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建立文艺人才培养名录，分梯次培养一批优秀骨干人才、青年后备人才、基层文艺人才。繁荣互联网条件下新大众文艺，鼓励人民群众广泛参与文艺创作传播。健全文艺评论常态化引导机制。</w:t>
      </w:r>
    </w:p>
    <w:tbl>
      <w:tblPr>
        <w:tblStyle w:val="11"/>
        <w:tblW w:w="89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0"/>
      </w:tblGrid>
      <w:tr w14:paraId="5FC60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0" w:type="dxa"/>
          </w:tcPr>
          <w:p w14:paraId="215EA63B">
            <w:pPr>
              <w:spacing w:line="560" w:lineRule="exact"/>
              <w:jc w:val="center"/>
              <w:rPr>
                <w:rFonts w:eastAsia="仿宋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sz w:val="28"/>
                <w:szCs w:val="28"/>
              </w:rPr>
              <w:t>专栏1 创作一批优秀文艺作品</w:t>
            </w:r>
          </w:p>
        </w:tc>
      </w:tr>
      <w:tr w14:paraId="26EB8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980" w:type="dxa"/>
          </w:tcPr>
          <w:p w14:paraId="753C341D">
            <w:pPr>
              <w:pStyle w:val="10"/>
              <w:spacing w:line="560" w:lineRule="exact"/>
              <w:ind w:firstLine="442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实施河北省舞台艺术精品工程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：聚焦中国共产党成立105周年、中国人民解放军建军100周年、雄安新区设立10周年、改革开放50周年、新中国成立80周年等重要节点和重点工作安排，有组织创作，推出精品力作。</w:t>
            </w:r>
          </w:p>
          <w:p w14:paraId="0E548167">
            <w:pPr>
              <w:pStyle w:val="10"/>
              <w:spacing w:line="560" w:lineRule="exact"/>
              <w:ind w:firstLine="442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实施原创剧本扶持计划：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征集和支持反映重大主题、彰显燕赵文化底蕴的原创剧本创作、孵化，培养青年编剧人才，丰富剧本储备。</w:t>
            </w:r>
          </w:p>
        </w:tc>
      </w:tr>
    </w:tbl>
    <w:p w14:paraId="59756C74">
      <w:pPr>
        <w:spacing w:line="560" w:lineRule="exact"/>
        <w:ind w:firstLine="640" w:firstLineChars="200"/>
        <w:jc w:val="left"/>
        <w:outlineLvl w:val="0"/>
        <w:rPr>
          <w:rFonts w:hint="eastAsia" w:ascii="黑体" w:hAnsi="黑体" w:eastAsia="黑体" w:cs="黑体"/>
          <w:sz w:val="32"/>
          <w:szCs w:val="32"/>
        </w:rPr>
      </w:pPr>
      <w:bookmarkStart w:id="29" w:name="_Toc22275"/>
      <w:bookmarkStart w:id="30" w:name="_Toc15187"/>
      <w:bookmarkStart w:id="31" w:name="_Toc14239"/>
      <w:bookmarkStart w:id="32" w:name="_Toc17003"/>
      <w:bookmarkStart w:id="33" w:name="_Toc2424"/>
      <w:bookmarkStart w:id="34" w:name="_Toc15344"/>
      <w:r>
        <w:rPr>
          <w:rFonts w:hint="eastAsia" w:ascii="黑体" w:hAnsi="黑体" w:eastAsia="黑体" w:cs="黑体"/>
          <w:sz w:val="32"/>
          <w:szCs w:val="32"/>
        </w:rPr>
        <w:t>四、加强</w:t>
      </w:r>
      <w:bookmarkEnd w:id="29"/>
      <w:bookmarkEnd w:id="30"/>
      <w:bookmarkEnd w:id="31"/>
      <w:r>
        <w:rPr>
          <w:rFonts w:hint="eastAsia" w:ascii="黑体" w:hAnsi="黑体" w:eastAsia="黑体" w:cs="黑体"/>
          <w:sz w:val="32"/>
          <w:szCs w:val="32"/>
        </w:rPr>
        <w:t>文化遗产保护传承</w:t>
      </w:r>
      <w:bookmarkEnd w:id="32"/>
      <w:bookmarkEnd w:id="33"/>
      <w:bookmarkEnd w:id="34"/>
    </w:p>
    <w:p w14:paraId="7767342C">
      <w:pPr>
        <w:spacing w:line="560" w:lineRule="exact"/>
        <w:ind w:firstLine="640" w:firstLineChars="200"/>
        <w:outlineLvl w:val="1"/>
        <w:rPr>
          <w:rFonts w:hint="eastAsia" w:ascii="楷体_GB2312" w:hAnsi="楷体_GB2312" w:eastAsia="楷体_GB2312" w:cs="楷体_GB2312"/>
          <w:sz w:val="32"/>
          <w:szCs w:val="32"/>
        </w:rPr>
      </w:pPr>
      <w:bookmarkStart w:id="35" w:name="_Toc31406"/>
      <w:bookmarkStart w:id="36" w:name="_Toc30549"/>
      <w:bookmarkStart w:id="37" w:name="_Toc764"/>
      <w:bookmarkStart w:id="38" w:name="_Toc1213"/>
      <w:bookmarkStart w:id="39" w:name="_Toc6237"/>
      <w:bookmarkStart w:id="40" w:name="_Toc21406"/>
      <w:r>
        <w:rPr>
          <w:rFonts w:hint="eastAsia" w:ascii="楷体_GB2312" w:hAnsi="楷体_GB2312" w:eastAsia="楷体_GB2312" w:cs="楷体_GB2312"/>
          <w:sz w:val="32"/>
          <w:szCs w:val="32"/>
        </w:rPr>
        <w:t>（一）深化优秀传统文化阐释</w:t>
      </w:r>
      <w:bookmarkEnd w:id="35"/>
      <w:bookmarkEnd w:id="36"/>
      <w:bookmarkEnd w:id="37"/>
      <w:bookmarkEnd w:id="38"/>
      <w:bookmarkEnd w:id="39"/>
      <w:bookmarkEnd w:id="40"/>
    </w:p>
    <w:p w14:paraId="6BC97B01"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实施河北历史文化研究工程，系统梳理燕赵文脉，建立河北文化IP资源库、河北文化名人库等，发布一批标志性理论成果。推进重点考古工作，</w:t>
      </w:r>
      <w:r>
        <w:rPr>
          <w:rFonts w:hint="eastAsia" w:ascii="仿宋_GB2312" w:hAnsi="仿宋_GB2312" w:eastAsia="仿宋_GB2312" w:cs="仿宋_GB2312"/>
          <w:sz w:val="32"/>
          <w:szCs w:val="32"/>
        </w:rPr>
        <w:t>积极参与“中华文明探源工程”“考古中国”等国家重大项目，推进东方人类探源、红山社会文明化进程研究，开展农业起源、燕赵中山文化等课题研究。</w:t>
      </w:r>
    </w:p>
    <w:tbl>
      <w:tblPr>
        <w:tblStyle w:val="12"/>
        <w:tblW w:w="88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5"/>
      </w:tblGrid>
      <w:tr w14:paraId="2CC87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8855" w:type="dxa"/>
          </w:tcPr>
          <w:p w14:paraId="193712D2">
            <w:pPr>
              <w:spacing w:line="560" w:lineRule="exact"/>
              <w:jc w:val="center"/>
              <w:rPr>
                <w:rFonts w:eastAsia="仿宋_GB2312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sz w:val="28"/>
                <w:szCs w:val="28"/>
              </w:rPr>
              <w:t>专栏2 推进重点考古工作</w:t>
            </w:r>
          </w:p>
        </w:tc>
      </w:tr>
      <w:tr w14:paraId="20A7C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" w:hRule="atLeast"/>
        </w:trPr>
        <w:tc>
          <w:tcPr>
            <w:tcW w:w="8855" w:type="dxa"/>
          </w:tcPr>
          <w:p w14:paraId="655669F5">
            <w:pPr>
              <w:pStyle w:val="10"/>
              <w:spacing w:line="560" w:lineRule="exact"/>
              <w:ind w:firstLine="442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有序推进红山文化考古发掘：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持续开展宣化郑家沟等遗址考古发掘工作，在国内外权威刊物发表相关学术研究成果。</w:t>
            </w:r>
          </w:p>
          <w:p w14:paraId="62BA53A2">
            <w:pPr>
              <w:pStyle w:val="10"/>
              <w:spacing w:line="560" w:lineRule="exact"/>
              <w:ind w:firstLine="442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加强重大遗址考古发掘：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推进泥河湾遗址、赵王城遗址、燕下都遗址、东垣古城遗址、邺城遗址、元中都遗址等重大遗址考古发掘与研究。</w:t>
            </w:r>
          </w:p>
        </w:tc>
      </w:tr>
    </w:tbl>
    <w:p w14:paraId="6518A2EE">
      <w:pPr>
        <w:spacing w:line="560" w:lineRule="exact"/>
        <w:ind w:firstLine="640" w:firstLineChars="200"/>
        <w:outlineLvl w:val="1"/>
        <w:rPr>
          <w:rFonts w:hint="eastAsia" w:ascii="楷体_GB2312" w:hAnsi="楷体_GB2312" w:eastAsia="楷体_GB2312" w:cs="楷体_GB2312"/>
          <w:sz w:val="32"/>
          <w:szCs w:val="32"/>
        </w:rPr>
      </w:pPr>
      <w:bookmarkStart w:id="41" w:name="_Toc2253"/>
      <w:bookmarkStart w:id="42" w:name="_Toc210"/>
      <w:bookmarkStart w:id="43" w:name="_Toc5418"/>
      <w:bookmarkStart w:id="44" w:name="_Toc29245"/>
      <w:bookmarkStart w:id="45" w:name="_Toc3678"/>
      <w:bookmarkStart w:id="46" w:name="_Toc32496"/>
      <w:bookmarkStart w:id="47" w:name="_Toc30624"/>
      <w:r>
        <w:rPr>
          <w:rFonts w:hint="eastAsia" w:ascii="楷体_GB2312" w:hAnsi="楷体_GB2312" w:eastAsia="楷体_GB2312" w:cs="楷体_GB2312"/>
          <w:sz w:val="32"/>
          <w:szCs w:val="32"/>
        </w:rPr>
        <w:t>（二）</w:t>
      </w:r>
      <w:bookmarkEnd w:id="41"/>
      <w:bookmarkEnd w:id="42"/>
      <w:bookmarkEnd w:id="43"/>
      <w:bookmarkEnd w:id="44"/>
      <w:bookmarkEnd w:id="45"/>
      <w:bookmarkEnd w:id="46"/>
      <w:bookmarkEnd w:id="47"/>
      <w:r>
        <w:rPr>
          <w:rFonts w:ascii="楷体_GB2312" w:hAnsi="楷体_GB2312" w:eastAsia="楷体_GB2312" w:cs="楷体_GB2312"/>
          <w:sz w:val="32"/>
          <w:szCs w:val="32"/>
        </w:rPr>
        <w:t>提升文化遗产保护传承水平</w:t>
      </w:r>
    </w:p>
    <w:p w14:paraId="53F75D97"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推动文化遗产系统性保护和统一监管督察。加强历史文化名城名镇名村、街区和重点文物、革命文物保护，高质量推进长城、大运河文化遗产保护修缮工程，推进避暑山庄及周围寺庙、清东陵、清西陵等重点文物修缮，强化正定、蔚县、定州、井陉等重点地区文物保护，加强低级别文物保护。做好第二次全国可移动文物普查、第九批全国重点文物保护单位申报工作。实施文物保护数字化工程。持续推进泥河湾世界文化遗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产申报工作，推动正定古城列入《中国世界文化遗产预备名单》，</w:t>
      </w:r>
      <w:r>
        <w:rPr>
          <w:rFonts w:hint="eastAsia" w:ascii="仿宋_GB2312" w:hAnsi="仿宋_GB2312" w:eastAsia="仿宋_GB2312" w:cs="仿宋_GB2312"/>
          <w:sz w:val="32"/>
          <w:szCs w:val="32"/>
        </w:rPr>
        <w:t>有序推进万里茶道（河北段）申遗、海丰镇遗址参与海上丝绸之路申遗工作，推动中山三器及铭文申报世界记忆名录，推进承德世界遗产城市国家文物保护利用示范区建设。完善文物安全责任体系，深入开展文物安全隐患排查整治，实施文物“法人违法”案件专项整治行动，规范文物行政执法。创新“文物+保险”机制，</w:t>
      </w:r>
      <w:r>
        <w:rPr>
          <w:rFonts w:ascii="仿宋_GB2312" w:hAnsi="仿宋_GB2312" w:eastAsia="仿宋_GB2312" w:cs="仿宋_GB2312"/>
          <w:sz w:val="32"/>
          <w:szCs w:val="32"/>
        </w:rPr>
        <w:t>加强私有产权住宅文物保护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加强非物质文化遗产保护传承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优化非遗代表性项目名录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体系。支持沧州创建武术与杂技国家级文化生态保护区，建设一批省级文化生态保护区。</w:t>
      </w:r>
      <w:r>
        <w:rPr>
          <w:rFonts w:hint="eastAsia" w:ascii="仿宋_GB2312" w:hAnsi="仿宋_GB2312" w:eastAsia="仿宋_GB2312" w:cs="仿宋_GB2312"/>
          <w:sz w:val="32"/>
          <w:szCs w:val="32"/>
        </w:rPr>
        <w:t>开展国家级、省级非遗代表性传承人记录工作。</w:t>
      </w:r>
    </w:p>
    <w:tbl>
      <w:tblPr>
        <w:tblStyle w:val="12"/>
        <w:tblW w:w="883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35"/>
      </w:tblGrid>
      <w:tr w14:paraId="299AF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35" w:type="dxa"/>
          </w:tcPr>
          <w:p w14:paraId="64AD5115">
            <w:pPr>
              <w:spacing w:line="560" w:lineRule="exact"/>
              <w:jc w:val="center"/>
              <w:rPr>
                <w:rFonts w:eastAsia="仿宋_GB231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专栏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sz w:val="28"/>
                <w:szCs w:val="28"/>
              </w:rPr>
              <w:t>3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 xml:space="preserve"> 加强重点文物保护</w:t>
            </w:r>
          </w:p>
        </w:tc>
      </w:tr>
      <w:tr w14:paraId="67FA8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835" w:type="dxa"/>
          </w:tcPr>
          <w:p w14:paraId="2BD450D7">
            <w:pPr>
              <w:pStyle w:val="10"/>
              <w:spacing w:line="560" w:lineRule="exact"/>
              <w:ind w:firstLine="442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加强文物保护修缮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：开展避暑山庄永佑寺舍利塔壁画、清东陵裕陵油饰彩画、清西陵泰陵彩画（一期）、正定隆兴寺、响堂山石窟、井陉旧城城墙等保护修缮工作。</w:t>
            </w:r>
          </w:p>
          <w:p w14:paraId="6AEA8575">
            <w:pPr>
              <w:pStyle w:val="10"/>
              <w:spacing w:line="560" w:lineRule="exact"/>
              <w:ind w:firstLine="442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加强低级别文物保护：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制定全省低级别文物保护工作实施方案，压实文物保护责任，夯实基层文保力量，探索成立文物保护基金会，构建政府主导、社会参与的多元文物保护格局。</w:t>
            </w:r>
          </w:p>
          <w:p w14:paraId="23EDDF9A">
            <w:pPr>
              <w:pStyle w:val="10"/>
              <w:spacing w:line="560" w:lineRule="exact"/>
              <w:ind w:firstLine="442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实施文物保护数字化工程：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建设省级文物数字资源库，完善文物数字管理服务体系。加强蔚县古壁画等重点文物</w:t>
            </w:r>
            <w:r>
              <w:rPr>
                <w:rFonts w:ascii="宋体" w:hAnsi="宋体" w:eastAsia="宋体" w:cs="宋体"/>
                <w:sz w:val="22"/>
                <w:szCs w:val="22"/>
              </w:rPr>
              <w:t>数字化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保护修复</w:t>
            </w:r>
            <w:r>
              <w:rPr>
                <w:rFonts w:ascii="宋体" w:hAnsi="宋体" w:eastAsia="宋体" w:cs="宋体"/>
                <w:sz w:val="22"/>
                <w:szCs w:val="22"/>
              </w:rPr>
              <w:t>。</w:t>
            </w:r>
          </w:p>
        </w:tc>
      </w:tr>
    </w:tbl>
    <w:p w14:paraId="209EF062">
      <w:pPr>
        <w:spacing w:line="560" w:lineRule="exact"/>
        <w:ind w:firstLine="640" w:firstLineChars="200"/>
        <w:outlineLvl w:val="1"/>
        <w:rPr>
          <w:rFonts w:hint="eastAsia" w:ascii="楷体_GB2312" w:hAnsi="楷体_GB2312" w:eastAsia="楷体_GB2312" w:cs="楷体_GB2312"/>
          <w:sz w:val="32"/>
          <w:szCs w:val="32"/>
        </w:rPr>
      </w:pPr>
      <w:bookmarkStart w:id="48" w:name="_Toc20473"/>
      <w:bookmarkStart w:id="49" w:name="_Toc11887"/>
      <w:bookmarkStart w:id="50" w:name="_Toc3451"/>
      <w:bookmarkStart w:id="51" w:name="_Toc21905"/>
      <w:bookmarkStart w:id="52" w:name="_Toc32311"/>
      <w:bookmarkStart w:id="53" w:name="_Toc3449"/>
      <w:r>
        <w:rPr>
          <w:rFonts w:hint="eastAsia" w:ascii="楷体_GB2312" w:hAnsi="楷体_GB2312" w:eastAsia="楷体_GB2312" w:cs="楷体_GB2312"/>
          <w:sz w:val="32"/>
          <w:szCs w:val="32"/>
        </w:rPr>
        <w:t>（三）</w:t>
      </w:r>
      <w:bookmarkEnd w:id="48"/>
      <w:bookmarkEnd w:id="49"/>
      <w:bookmarkEnd w:id="50"/>
      <w:bookmarkEnd w:id="51"/>
      <w:bookmarkEnd w:id="52"/>
      <w:bookmarkEnd w:id="53"/>
      <w:r>
        <w:rPr>
          <w:rFonts w:hint="eastAsia" w:ascii="楷体_GB2312" w:hAnsi="楷体_GB2312" w:eastAsia="楷体_GB2312" w:cs="楷体_GB2312"/>
          <w:sz w:val="32"/>
          <w:szCs w:val="32"/>
        </w:rPr>
        <w:t>推动文化遗产活化利用</w:t>
      </w:r>
    </w:p>
    <w:p w14:paraId="4409D8B6"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加强博物馆藏品保护管理，提高展陈率与展示水平。推进重点博物馆数字化建设，加大对中小博物馆的帮扶力度。</w:t>
      </w: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加强非遗工坊建设</w:t>
      </w:r>
      <w:r>
        <w:rPr>
          <w:rFonts w:hint="eastAsia" w:ascii="仿宋_GB2312" w:hAnsi="仿宋_GB2312" w:eastAsia="仿宋_GB2312" w:cs="仿宋_GB2312"/>
          <w:sz w:val="32"/>
          <w:szCs w:val="32"/>
        </w:rPr>
        <w:t>。运用人工智能、虚拟现实、增强现实等新技术新模式，创新文化遗产展示、传播、体验方式，让文化遗产更多走进百姓日常、融入现代生活。</w:t>
      </w:r>
    </w:p>
    <w:tbl>
      <w:tblPr>
        <w:tblStyle w:val="12"/>
        <w:tblW w:w="89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5"/>
      </w:tblGrid>
      <w:tr w14:paraId="79C7F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8925" w:type="dxa"/>
          </w:tcPr>
          <w:p w14:paraId="24F7F312"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sz w:val="28"/>
                <w:szCs w:val="28"/>
              </w:rPr>
              <w:t>专栏4 推动文化遗产活化利用</w:t>
            </w:r>
          </w:p>
        </w:tc>
      </w:tr>
      <w:tr w14:paraId="30068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925" w:type="dxa"/>
          </w:tcPr>
          <w:p w14:paraId="1F299A64">
            <w:pPr>
              <w:pStyle w:val="10"/>
              <w:spacing w:line="560" w:lineRule="exact"/>
              <w:ind w:firstLine="442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实施中小博物馆提升计划：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深化“大馆带小馆”模式，</w:t>
            </w:r>
            <w:bookmarkStart w:id="54" w:name="OLE_LINK15"/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组织国家一级博物馆对中小博物馆进行对口帮扶</w:t>
            </w:r>
            <w:bookmarkEnd w:id="54"/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，深化藏品保护、陈列展览、社会教育等领域协作。</w:t>
            </w:r>
          </w:p>
          <w:p w14:paraId="738C42EF">
            <w:pPr>
              <w:pStyle w:val="10"/>
              <w:spacing w:line="560" w:lineRule="exact"/>
              <w:ind w:firstLine="442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加强非遗传承体验新场景培育：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坚持活态传承、场景适配、数字赋能，支持有条件的非遗项目和景区打造沉浸式非遗传承体验新场景。</w:t>
            </w:r>
          </w:p>
        </w:tc>
      </w:tr>
    </w:tbl>
    <w:p w14:paraId="7C93AEAB">
      <w:pPr>
        <w:spacing w:line="560" w:lineRule="exact"/>
        <w:ind w:firstLine="640" w:firstLineChars="200"/>
        <w:jc w:val="left"/>
        <w:outlineLvl w:val="0"/>
        <w:rPr>
          <w:rFonts w:hint="eastAsia" w:ascii="黑体" w:hAnsi="黑体" w:eastAsia="黑体" w:cs="黑体"/>
          <w:sz w:val="32"/>
          <w:szCs w:val="32"/>
        </w:rPr>
      </w:pPr>
      <w:bookmarkStart w:id="55" w:name="_Toc4259"/>
      <w:bookmarkStart w:id="56" w:name="_Toc25254"/>
      <w:bookmarkStart w:id="57" w:name="_Toc17691"/>
      <w:bookmarkStart w:id="58" w:name="_Toc2625"/>
      <w:bookmarkStart w:id="59" w:name="_Toc22580"/>
      <w:bookmarkStart w:id="60" w:name="_Toc5010"/>
      <w:r>
        <w:rPr>
          <w:rFonts w:hint="eastAsia" w:ascii="黑体" w:hAnsi="黑体" w:eastAsia="黑体" w:cs="黑体"/>
          <w:sz w:val="32"/>
          <w:szCs w:val="32"/>
        </w:rPr>
        <w:t>五、完善公共文化服务体系</w:t>
      </w:r>
      <w:bookmarkEnd w:id="55"/>
      <w:bookmarkEnd w:id="56"/>
      <w:bookmarkEnd w:id="57"/>
      <w:bookmarkEnd w:id="58"/>
      <w:bookmarkEnd w:id="59"/>
      <w:bookmarkEnd w:id="60"/>
    </w:p>
    <w:p w14:paraId="63CA7273">
      <w:pPr>
        <w:spacing w:line="560" w:lineRule="exact"/>
        <w:ind w:firstLine="640" w:firstLineChars="200"/>
        <w:outlineLvl w:val="1"/>
        <w:rPr>
          <w:rFonts w:hint="eastAsia" w:ascii="楷体_GB2312" w:hAnsi="楷体_GB2312" w:eastAsia="楷体_GB2312" w:cs="楷体_GB2312"/>
          <w:sz w:val="32"/>
          <w:szCs w:val="32"/>
        </w:rPr>
      </w:pPr>
      <w:bookmarkStart w:id="61" w:name="_Toc13919"/>
      <w:bookmarkStart w:id="62" w:name="_Toc20066"/>
      <w:bookmarkStart w:id="63" w:name="_Toc15168"/>
      <w:bookmarkStart w:id="64" w:name="_Toc7128"/>
      <w:bookmarkStart w:id="65" w:name="OLE_LINK2"/>
      <w:bookmarkStart w:id="66" w:name="_Toc20834"/>
      <w:r>
        <w:rPr>
          <w:rFonts w:hint="eastAsia" w:ascii="楷体_GB2312" w:hAnsi="楷体_GB2312" w:eastAsia="楷体_GB2312" w:cs="楷体_GB2312"/>
          <w:sz w:val="32"/>
          <w:szCs w:val="32"/>
        </w:rPr>
        <w:t>（一）优化公共文化服务设施</w:t>
      </w:r>
      <w:bookmarkEnd w:id="61"/>
      <w:bookmarkEnd w:id="62"/>
      <w:bookmarkEnd w:id="63"/>
      <w:bookmarkEnd w:id="64"/>
    </w:p>
    <w:p w14:paraId="51A55E7B">
      <w:pPr>
        <w:spacing w:line="560" w:lineRule="exact"/>
        <w:ind w:firstLine="640" w:firstLineChars="200"/>
        <w:rPr>
          <w:rFonts w:ascii="仿宋_GB2312" w:eastAsia="仿宋_GB2312"/>
          <w:sz w:val="32"/>
          <w:szCs w:val="36"/>
        </w:rPr>
      </w:pPr>
      <w:bookmarkStart w:id="67" w:name="OLE_LINK48"/>
      <w:r>
        <w:rPr>
          <w:rFonts w:hint="eastAsia" w:ascii="仿宋_GB2312" w:eastAsia="仿宋_GB2312"/>
          <w:sz w:val="32"/>
          <w:szCs w:val="36"/>
        </w:rPr>
        <w:t>推动公共文化设施提档升级，推进市县公共文化场馆统筹使用，推动乡镇（街道）、村（社区）基层文化设施融合发展，因地制宜打造“小而美”新型公共文化空间。</w:t>
      </w:r>
      <w:bookmarkStart w:id="68" w:name="OLE_LINK17"/>
      <w:r>
        <w:rPr>
          <w:rFonts w:hint="eastAsia" w:ascii="仿宋_GB2312" w:eastAsia="仿宋_GB2312"/>
          <w:color w:val="000000" w:themeColor="text1"/>
          <w:sz w:val="32"/>
          <w:szCs w:val="36"/>
          <w14:textFill>
            <w14:solidFill>
              <w14:schemeClr w14:val="tx1"/>
            </w14:solidFill>
          </w14:textFill>
        </w:rPr>
        <w:t>开展文化馆、公共图书馆评估定级</w:t>
      </w:r>
      <w:bookmarkEnd w:id="68"/>
      <w:r>
        <w:rPr>
          <w:rFonts w:hint="eastAsia" w:ascii="仿宋_GB2312" w:eastAsia="仿宋_GB2312"/>
          <w:color w:val="000000" w:themeColor="text1"/>
          <w:sz w:val="32"/>
          <w:szCs w:val="36"/>
          <w14:textFill>
            <w14:solidFill>
              <w14:schemeClr w14:val="tx1"/>
            </w14:solidFill>
          </w14:textFill>
        </w:rPr>
        <w:t>，</w:t>
      </w:r>
      <w:bookmarkStart w:id="69" w:name="OLE_LINK19"/>
      <w:r>
        <w:rPr>
          <w:rFonts w:hint="eastAsia" w:ascii="仿宋_GB2312" w:eastAsia="仿宋_GB2312"/>
          <w:color w:val="000000" w:themeColor="text1"/>
          <w:sz w:val="32"/>
          <w:szCs w:val="36"/>
          <w14:textFill>
            <w14:solidFill>
              <w14:schemeClr w14:val="tx1"/>
            </w14:solidFill>
          </w14:textFill>
        </w:rPr>
        <w:t>上等级馆达标率</w:t>
      </w:r>
      <w:bookmarkEnd w:id="69"/>
      <w:r>
        <w:rPr>
          <w:rFonts w:hint="eastAsia" w:ascii="仿宋_GB2312" w:eastAsia="仿宋_GB2312"/>
          <w:color w:val="000000" w:themeColor="text1"/>
          <w:sz w:val="32"/>
          <w:szCs w:val="36"/>
          <w14:textFill>
            <w14:solidFill>
              <w14:schemeClr w14:val="tx1"/>
            </w14:solidFill>
          </w14:textFill>
        </w:rPr>
        <w:t>实现100</w:t>
      </w:r>
      <w:r>
        <w:rPr>
          <w:rFonts w:ascii="仿宋_GB2312" w:eastAsia="仿宋_GB2312"/>
          <w:color w:val="000000" w:themeColor="text1"/>
          <w:sz w:val="32"/>
          <w:szCs w:val="36"/>
          <w14:textFill>
            <w14:solidFill>
              <w14:schemeClr w14:val="tx1"/>
            </w14:solidFill>
          </w14:textFill>
        </w:rPr>
        <w:t>%</w:t>
      </w:r>
      <w:r>
        <w:rPr>
          <w:rFonts w:hint="eastAsia" w:ascii="仿宋_GB2312" w:eastAsia="仿宋_GB2312"/>
          <w:color w:val="000000" w:themeColor="text1"/>
          <w:sz w:val="32"/>
          <w:szCs w:val="36"/>
          <w14:textFill>
            <w14:solidFill>
              <w14:schemeClr w14:val="tx1"/>
            </w14:solidFill>
          </w14:textFill>
        </w:rPr>
        <w:t>。深化县级总分馆制建设，</w:t>
      </w:r>
      <w:r>
        <w:rPr>
          <w:rFonts w:hint="eastAsia" w:ascii="仿宋_GB2312" w:eastAsia="仿宋_GB2312"/>
          <w:sz w:val="32"/>
          <w:szCs w:val="36"/>
        </w:rPr>
        <w:t>探索地级市“中心馆-总分馆”服务体系。</w:t>
      </w:r>
    </w:p>
    <w:bookmarkEnd w:id="67"/>
    <w:tbl>
      <w:tblPr>
        <w:tblStyle w:val="16"/>
        <w:tblW w:w="89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10"/>
      </w:tblGrid>
      <w:tr w14:paraId="62DCA3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46B7A0">
            <w:pPr>
              <w:autoSpaceDE w:val="0"/>
              <w:spacing w:line="560" w:lineRule="exact"/>
              <w:jc w:val="center"/>
              <w:textAlignment w:val="baseline"/>
              <w:rPr>
                <w:rFonts w:hint="eastAsia" w:ascii="等线" w:hAnsi="等线" w:eastAsia="仿宋" w:cs="Times New Roman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shd w:val="clear" w:color="auto" w:fill="FFFFFF"/>
              </w:rPr>
              <w:t>专栏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sz w:val="28"/>
                <w:szCs w:val="28"/>
              </w:rPr>
              <w:t>5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shd w:val="clear" w:color="auto" w:fill="FFFFFF"/>
              </w:rPr>
              <w:t xml:space="preserve"> 优化公共文化服务设施</w:t>
            </w:r>
          </w:p>
        </w:tc>
      </w:tr>
      <w:tr w14:paraId="032B42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CB852D">
            <w:pPr>
              <w:pStyle w:val="10"/>
              <w:spacing w:line="560" w:lineRule="exact"/>
              <w:ind w:firstLine="442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推进重大文化设施建设：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推进河北艺术职业学院新校区建设，实施河北剧场内部装修及加固工程。</w:t>
            </w:r>
          </w:p>
          <w:p w14:paraId="7AA31157">
            <w:pPr>
              <w:pStyle w:val="10"/>
              <w:spacing w:line="560" w:lineRule="exact"/>
              <w:ind w:firstLine="442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打造新型公共文化空间：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在城乡布局打造300个以上公共阅读、艺术普及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和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综合文化服务空间。</w:t>
            </w:r>
          </w:p>
        </w:tc>
      </w:tr>
    </w:tbl>
    <w:p w14:paraId="05603BB3">
      <w:pPr>
        <w:spacing w:line="560" w:lineRule="exact"/>
        <w:ind w:firstLine="640" w:firstLineChars="200"/>
        <w:outlineLvl w:val="1"/>
        <w:rPr>
          <w:rFonts w:hint="eastAsia" w:ascii="楷体_GB2312" w:hAnsi="楷体_GB2312" w:eastAsia="楷体_GB2312" w:cs="楷体_GB2312"/>
          <w:sz w:val="32"/>
          <w:szCs w:val="32"/>
        </w:rPr>
      </w:pPr>
      <w:bookmarkStart w:id="70" w:name="_Toc8384"/>
      <w:bookmarkStart w:id="71" w:name="_Toc18248"/>
      <w:bookmarkStart w:id="72" w:name="_Toc12116"/>
      <w:bookmarkStart w:id="73" w:name="_Toc22960"/>
      <w:r>
        <w:rPr>
          <w:rFonts w:hint="eastAsia" w:ascii="楷体_GB2312" w:hAnsi="楷体_GB2312" w:eastAsia="楷体_GB2312" w:cs="楷体_GB2312"/>
          <w:sz w:val="32"/>
          <w:szCs w:val="32"/>
        </w:rPr>
        <w:t>（二）实施公共文化服务提质增效行动</w:t>
      </w:r>
      <w:bookmarkEnd w:id="70"/>
      <w:bookmarkEnd w:id="71"/>
      <w:bookmarkEnd w:id="72"/>
      <w:bookmarkEnd w:id="73"/>
    </w:p>
    <w:p w14:paraId="60D42B29">
      <w:pPr>
        <w:spacing w:line="560" w:lineRule="exact"/>
        <w:ind w:firstLine="640" w:firstLineChars="200"/>
        <w:rPr>
          <w:rFonts w:ascii="仿宋_GB2312" w:eastAsia="仿宋_GB2312"/>
          <w:sz w:val="32"/>
          <w:szCs w:val="36"/>
        </w:rPr>
      </w:pPr>
      <w:bookmarkStart w:id="74" w:name="OLE_LINK45"/>
      <w:r>
        <w:rPr>
          <w:rFonts w:hint="eastAsia" w:ascii="仿宋_GB2312" w:eastAsia="仿宋_GB2312"/>
          <w:sz w:val="32"/>
          <w:szCs w:val="36"/>
        </w:rPr>
        <w:t>提高</w:t>
      </w:r>
      <w:r>
        <w:rPr>
          <w:rFonts w:ascii="仿宋_GB2312" w:eastAsia="仿宋_GB2312"/>
          <w:sz w:val="32"/>
          <w:szCs w:val="36"/>
        </w:rPr>
        <w:t>公共文化</w:t>
      </w:r>
      <w:r>
        <w:rPr>
          <w:rFonts w:hint="eastAsia" w:ascii="仿宋_GB2312" w:eastAsia="仿宋_GB2312"/>
          <w:sz w:val="32"/>
          <w:szCs w:val="36"/>
        </w:rPr>
        <w:t>设施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免费开放水平。</w:t>
      </w:r>
      <w:r>
        <w:rPr>
          <w:rFonts w:hint="eastAsia" w:ascii="仿宋_GB2312" w:eastAsia="仿宋_GB2312"/>
          <w:sz w:val="32"/>
          <w:szCs w:val="36"/>
        </w:rPr>
        <w:t>提升基层公共图书馆馆藏质量，丰富全民阅读场景。</w:t>
      </w:r>
      <w:bookmarkEnd w:id="74"/>
      <w:bookmarkStart w:id="75" w:name="OLE_LINK24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构建智慧图书馆体系，</w:t>
      </w:r>
      <w:bookmarkEnd w:id="75"/>
      <w:bookmarkStart w:id="76" w:name="OLE_LINK23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加强</w:t>
      </w:r>
      <w:r>
        <w:rPr>
          <w:rFonts w:hint="eastAsia" w:ascii="仿宋_GB2312" w:eastAsia="仿宋_GB2312"/>
          <w:sz w:val="32"/>
          <w:szCs w:val="36"/>
        </w:rPr>
        <w:t>古籍等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文化资源的保护和数字化</w:t>
      </w:r>
      <w:bookmarkEnd w:id="76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建设。</w:t>
      </w:r>
      <w:bookmarkStart w:id="77" w:name="OLE_LINK50"/>
      <w:r>
        <w:rPr>
          <w:rFonts w:hint="eastAsia" w:ascii="仿宋_GB2312" w:eastAsia="仿宋_GB2312"/>
          <w:sz w:val="32"/>
          <w:szCs w:val="36"/>
        </w:rPr>
        <w:t>加强“冀图邮书”“青年文化夜校”等公共文化服务品牌建设。</w:t>
      </w:r>
    </w:p>
    <w:bookmarkEnd w:id="77"/>
    <w:tbl>
      <w:tblPr>
        <w:tblStyle w:val="17"/>
        <w:tblW w:w="89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10"/>
      </w:tblGrid>
      <w:tr w14:paraId="5FB70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F4A93B">
            <w:pPr>
              <w:autoSpaceDE w:val="0"/>
              <w:spacing w:line="560" w:lineRule="exact"/>
              <w:jc w:val="center"/>
              <w:textAlignment w:val="baseline"/>
              <w:rPr>
                <w:rFonts w:hint="eastAsia" w:ascii="等线" w:hAnsi="等线" w:eastAsia="仿宋" w:cs="Times New Roman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shd w:val="clear" w:color="auto" w:fill="FFFFFF"/>
              </w:rPr>
              <w:t>专栏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sz w:val="28"/>
                <w:szCs w:val="28"/>
              </w:rPr>
              <w:t>6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shd w:val="clear" w:color="auto" w:fill="FFFFFF"/>
              </w:rPr>
              <w:t xml:space="preserve"> 实施公共文化服务提质增效行动</w:t>
            </w:r>
          </w:p>
        </w:tc>
      </w:tr>
      <w:tr w14:paraId="26C79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4E4645">
            <w:pPr>
              <w:spacing w:line="560" w:lineRule="exact"/>
              <w:ind w:firstLine="440" w:firstLineChars="200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bookmarkStart w:id="78" w:name="OLE_LINK46"/>
            <w:r>
              <w:rPr>
                <w:rFonts w:hint="eastAsia" w:ascii="宋体" w:hAnsi="宋体" w:eastAsia="Times New Roman" w:cs="Times New Roman"/>
                <w:b/>
                <w:bCs/>
                <w:sz w:val="22"/>
                <w:szCs w:val="22"/>
              </w:rPr>
              <w:t>深化“青年文化夜校”品牌建设</w:t>
            </w:r>
            <w:r>
              <w:rPr>
                <w:rFonts w:hint="eastAsia" w:ascii="宋体" w:hAnsi="宋体" w:eastAsia="Times New Roman" w:cs="Times New Roman"/>
                <w:sz w:val="22"/>
                <w:szCs w:val="22"/>
              </w:rPr>
              <w:t>：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加强师资建设</w:t>
            </w:r>
            <w:r>
              <w:rPr>
                <w:rFonts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，优化课程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健全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课程</w:t>
            </w:r>
            <w:r>
              <w:rPr>
                <w:rFonts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评估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机制。</w:t>
            </w:r>
            <w:r>
              <w:rPr>
                <w:rFonts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整合党群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服务</w:t>
            </w:r>
            <w:r>
              <w:rPr>
                <w:rFonts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中心、新华书店等阵地，搭建数字平台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推动线上线下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联合</w:t>
            </w:r>
            <w:r>
              <w:rPr>
                <w:rFonts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教学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bookmarkEnd w:id="78"/>
          <w:p w14:paraId="29F95AE2">
            <w:pPr>
              <w:spacing w:line="560" w:lineRule="exact"/>
              <w:ind w:firstLine="440" w:firstLineChars="200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Times New Roman" w:cs="Times New Roman"/>
                <w:b/>
                <w:bCs/>
                <w:sz w:val="22"/>
                <w:szCs w:val="22"/>
              </w:rPr>
              <w:t>构建智慧图书馆体系：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推进古籍数字化整理，开展馆藏特色文献与地方文献数字化及知识标引。推进智慧图书馆平台建设。</w:t>
            </w:r>
          </w:p>
          <w:p w14:paraId="67401796">
            <w:pPr>
              <w:spacing w:line="560" w:lineRule="exact"/>
              <w:ind w:firstLine="440" w:firstLineChars="200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bookmarkStart w:id="79" w:name="OLE_LINK47"/>
            <w:r>
              <w:rPr>
                <w:rFonts w:hint="eastAsia" w:ascii="宋体" w:hAnsi="宋体" w:eastAsia="Times New Roman" w:cs="Times New Roman"/>
                <w:b/>
                <w:bCs/>
                <w:sz w:val="22"/>
                <w:szCs w:val="22"/>
              </w:rPr>
              <w:t>完善公共文化云平台</w:t>
            </w:r>
            <w:r>
              <w:rPr>
                <w:rFonts w:hint="eastAsia" w:ascii="宋体" w:hAnsi="宋体" w:eastAsia="Times New Roman" w:cs="Times New Roman"/>
                <w:sz w:val="22"/>
                <w:szCs w:val="22"/>
              </w:rPr>
              <w:t>：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推动公共文化云平台智能化升级，建设精品资源库，实现省、市、县、乡、村五级公共文化服务网络全域覆盖。</w:t>
            </w:r>
            <w:bookmarkEnd w:id="79"/>
          </w:p>
        </w:tc>
      </w:tr>
    </w:tbl>
    <w:p w14:paraId="41340D93">
      <w:pPr>
        <w:spacing w:line="560" w:lineRule="exact"/>
        <w:ind w:firstLine="640" w:firstLineChars="200"/>
        <w:outlineLvl w:val="1"/>
        <w:rPr>
          <w:rFonts w:hint="eastAsia" w:ascii="楷体_GB2312" w:hAnsi="楷体_GB2312" w:eastAsia="楷体_GB2312" w:cs="楷体_GB2312"/>
          <w:sz w:val="32"/>
          <w:szCs w:val="32"/>
        </w:rPr>
      </w:pPr>
      <w:bookmarkStart w:id="80" w:name="_Toc7907"/>
      <w:bookmarkStart w:id="81" w:name="_Toc6102"/>
      <w:bookmarkStart w:id="82" w:name="_Toc9811"/>
      <w:bookmarkStart w:id="83" w:name="_Toc13378"/>
      <w:r>
        <w:rPr>
          <w:rFonts w:hint="eastAsia" w:ascii="楷体_GB2312" w:hAnsi="楷体_GB2312" w:eastAsia="楷体_GB2312" w:cs="楷体_GB2312"/>
          <w:sz w:val="32"/>
          <w:szCs w:val="32"/>
        </w:rPr>
        <w:t>（三）繁荣活跃群众文化生活</w:t>
      </w:r>
      <w:bookmarkEnd w:id="80"/>
      <w:bookmarkEnd w:id="81"/>
      <w:bookmarkEnd w:id="82"/>
      <w:bookmarkEnd w:id="83"/>
    </w:p>
    <w:p w14:paraId="70DCABEB">
      <w:pPr>
        <w:spacing w:line="560" w:lineRule="exact"/>
        <w:ind w:firstLine="640" w:firstLineChars="200"/>
        <w:rPr>
          <w:rFonts w:ascii="仿宋_GB2312" w:eastAsia="仿宋_GB2312"/>
          <w:sz w:val="32"/>
          <w:szCs w:val="36"/>
        </w:rPr>
      </w:pPr>
      <w:r>
        <w:rPr>
          <w:rFonts w:hint="eastAsia" w:ascii="仿宋_GB2312" w:eastAsia="仿宋_GB2312"/>
          <w:sz w:val="32"/>
          <w:szCs w:val="36"/>
        </w:rPr>
        <w:t>深入实施文化惠民工程，广泛开展群众性文化活动。持续举办群众文艺原创精品展演，开展基层文艺创作培训，推出一批群众文艺精品。创新举办群众文化品牌活动。</w:t>
      </w:r>
    </w:p>
    <w:bookmarkEnd w:id="65"/>
    <w:p w14:paraId="72F1AF5C">
      <w:pPr>
        <w:spacing w:line="560" w:lineRule="exact"/>
        <w:ind w:firstLine="640" w:firstLineChars="200"/>
        <w:jc w:val="left"/>
        <w:outlineLvl w:val="0"/>
        <w:rPr>
          <w:rFonts w:hint="eastAsia" w:ascii="黑体" w:hAnsi="黑体" w:eastAsia="黑体" w:cs="黑体"/>
          <w:sz w:val="32"/>
          <w:szCs w:val="32"/>
        </w:rPr>
      </w:pPr>
      <w:bookmarkStart w:id="84" w:name="_Toc6777"/>
      <w:bookmarkStart w:id="85" w:name="_Toc28969"/>
      <w:bookmarkStart w:id="86" w:name="_Toc25808"/>
      <w:bookmarkStart w:id="87" w:name="_Toc21701"/>
      <w:bookmarkStart w:id="88" w:name="_Toc4032"/>
      <w:r>
        <w:rPr>
          <w:rFonts w:hint="eastAsia" w:ascii="黑体" w:hAnsi="黑体" w:eastAsia="黑体" w:cs="黑体"/>
          <w:sz w:val="32"/>
          <w:szCs w:val="32"/>
        </w:rPr>
        <w:t>六、加快发展文化产业</w:t>
      </w:r>
      <w:bookmarkEnd w:id="66"/>
      <w:bookmarkEnd w:id="84"/>
      <w:bookmarkEnd w:id="85"/>
      <w:bookmarkEnd w:id="86"/>
      <w:bookmarkEnd w:id="87"/>
      <w:bookmarkEnd w:id="88"/>
    </w:p>
    <w:p w14:paraId="59784F42">
      <w:pPr>
        <w:spacing w:line="560" w:lineRule="exact"/>
        <w:ind w:firstLine="640" w:firstLineChars="200"/>
        <w:outlineLvl w:val="1"/>
        <w:rPr>
          <w:rFonts w:hint="eastAsia" w:ascii="楷体_GB2312" w:hAnsi="楷体_GB2312" w:eastAsia="楷体_GB2312" w:cs="楷体_GB2312"/>
          <w:sz w:val="32"/>
          <w:szCs w:val="32"/>
        </w:rPr>
      </w:pPr>
      <w:bookmarkStart w:id="89" w:name="_Toc31426"/>
      <w:bookmarkStart w:id="90" w:name="_Toc111"/>
      <w:bookmarkStart w:id="91" w:name="_Toc32512"/>
      <w:bookmarkStart w:id="92" w:name="_Toc11352"/>
      <w:bookmarkStart w:id="93" w:name="_Toc20634"/>
      <w:bookmarkStart w:id="94" w:name="_Toc21007"/>
      <w:r>
        <w:rPr>
          <w:rFonts w:hint="eastAsia" w:ascii="楷体_GB2312" w:hAnsi="楷体_GB2312" w:eastAsia="楷体_GB2312" w:cs="楷体_GB2312"/>
          <w:sz w:val="32"/>
          <w:szCs w:val="32"/>
        </w:rPr>
        <w:t>（一）优化产业发展</w:t>
      </w:r>
      <w:bookmarkEnd w:id="89"/>
      <w:bookmarkEnd w:id="90"/>
      <w:bookmarkEnd w:id="91"/>
      <w:bookmarkEnd w:id="92"/>
      <w:bookmarkEnd w:id="93"/>
      <w:bookmarkEnd w:id="94"/>
      <w:r>
        <w:rPr>
          <w:rFonts w:hint="eastAsia" w:ascii="楷体_GB2312" w:hAnsi="楷体_GB2312" w:eastAsia="楷体_GB2312" w:cs="楷体_GB2312"/>
          <w:sz w:val="32"/>
          <w:szCs w:val="32"/>
        </w:rPr>
        <w:t>环境</w:t>
      </w:r>
    </w:p>
    <w:p w14:paraId="30669140">
      <w:pPr>
        <w:widowControl/>
        <w:spacing w:line="560" w:lineRule="exact"/>
        <w:ind w:firstLine="640" w:firstLineChars="200"/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加快构建统一开放、高效规范、竞争有序的文化市场，促进文化资源要素合理流动。</w:t>
      </w:r>
      <w:bookmarkStart w:id="95" w:name="OLE_LINK26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实施文旅企业梯度培育计划，鼓励大型企业集团化、链条化发展，培育一批中小企业，着力发展数字文化等新型企业。支持国家对外文化贸易基地（衡水）建设。</w:t>
      </w:r>
      <w:bookmarkEnd w:id="95"/>
    </w:p>
    <w:p w14:paraId="783998E8">
      <w:pPr>
        <w:spacing w:line="560" w:lineRule="exact"/>
        <w:ind w:firstLine="640" w:firstLineChars="200"/>
        <w:outlineLvl w:val="1"/>
        <w:rPr>
          <w:rFonts w:hint="eastAsia" w:ascii="楷体_GB2312" w:hAnsi="楷体_GB2312" w:eastAsia="楷体_GB2312" w:cs="楷体_GB2312"/>
          <w:sz w:val="32"/>
          <w:szCs w:val="32"/>
        </w:rPr>
      </w:pPr>
      <w:bookmarkStart w:id="96" w:name="_Toc4140"/>
      <w:bookmarkStart w:id="97" w:name="_Toc7240"/>
      <w:bookmarkStart w:id="98" w:name="_Toc12426"/>
      <w:bookmarkStart w:id="99" w:name="_Toc23449"/>
      <w:bookmarkStart w:id="100" w:name="_Toc24841"/>
      <w:bookmarkStart w:id="101" w:name="_Toc6304"/>
      <w:r>
        <w:rPr>
          <w:rFonts w:hint="eastAsia" w:ascii="楷体_GB2312" w:hAnsi="楷体_GB2312" w:eastAsia="楷体_GB2312" w:cs="楷体_GB2312"/>
          <w:sz w:val="32"/>
          <w:szCs w:val="32"/>
        </w:rPr>
        <w:t>（二）</w:t>
      </w:r>
      <w:bookmarkStart w:id="102" w:name="OLE_LINK29"/>
      <w:r>
        <w:rPr>
          <w:rFonts w:hint="eastAsia" w:ascii="楷体_GB2312" w:hAnsi="楷体_GB2312" w:eastAsia="楷体_GB2312" w:cs="楷体_GB2312"/>
          <w:sz w:val="32"/>
          <w:szCs w:val="32"/>
        </w:rPr>
        <w:t>健全现代产业体系和市场体系</w:t>
      </w:r>
      <w:bookmarkEnd w:id="96"/>
      <w:bookmarkEnd w:id="97"/>
      <w:bookmarkEnd w:id="98"/>
      <w:bookmarkEnd w:id="99"/>
      <w:bookmarkEnd w:id="100"/>
      <w:bookmarkEnd w:id="101"/>
      <w:bookmarkEnd w:id="102"/>
    </w:p>
    <w:p w14:paraId="63A9E315"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实施重大文化产业项目带动战略，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推动存量项目盘活焕新、增量项目优化上新。</w:t>
      </w:r>
      <w:r>
        <w:rPr>
          <w:rFonts w:hint="eastAsia" w:ascii="仿宋_GB2312" w:hAnsi="仿宋_GB2312" w:eastAsia="仿宋_GB2312" w:cs="仿宋_GB2312"/>
          <w:sz w:val="32"/>
          <w:szCs w:val="32"/>
        </w:rPr>
        <w:t>改造提升文化装备制造、工艺美术等传统业态，发展文博文创、数字动漫等新型业态，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培育壮大一批特色文化产业集聚区。</w:t>
      </w:r>
      <w:r>
        <w:rPr>
          <w:rFonts w:hint="eastAsia" w:ascii="仿宋_GB2312" w:hAnsi="仿宋_GB2312" w:eastAsia="仿宋_GB2312" w:cs="仿宋_GB2312"/>
          <w:sz w:val="32"/>
          <w:szCs w:val="32"/>
        </w:rPr>
        <w:t>开展</w:t>
      </w:r>
      <w:r>
        <w:rPr>
          <w:rFonts w:ascii="仿宋_GB2312" w:hAnsi="仿宋_GB2312" w:eastAsia="仿宋_GB2312" w:cs="仿宋_GB2312"/>
          <w:sz w:val="32"/>
          <w:szCs w:val="32"/>
        </w:rPr>
        <w:t>“百县百品”特色文化挖掘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提升行动，推动陶瓷、石雕等历史经典产业传承创新，支持乐器、艺术玻璃、童车玩具等优势产业转型升级，做强太极、杂技、武术等文化IP。</w:t>
      </w:r>
      <w:r>
        <w:rPr>
          <w:rFonts w:hint="eastAsia" w:ascii="仿宋_GB2312" w:hAnsi="仿宋_GB2312" w:eastAsia="仿宋_GB2312" w:cs="仿宋_GB2312"/>
          <w:sz w:val="32"/>
          <w:szCs w:val="32"/>
        </w:rPr>
        <w:t>创建国家文化和旅游产业发展示范区（单位）。</w:t>
      </w:r>
    </w:p>
    <w:tbl>
      <w:tblPr>
        <w:tblStyle w:val="12"/>
        <w:tblW w:w="8740" w:type="dxa"/>
        <w:tblInd w:w="14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40"/>
      </w:tblGrid>
      <w:tr w14:paraId="43CCE7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40" w:type="dxa"/>
          </w:tcPr>
          <w:p w14:paraId="06537957">
            <w:pPr>
              <w:spacing w:line="560" w:lineRule="exact"/>
              <w:jc w:val="center"/>
              <w:rPr>
                <w:rFonts w:eastAsia="仿宋_GB231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专栏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sz w:val="28"/>
                <w:szCs w:val="28"/>
              </w:rPr>
              <w:t>7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 xml:space="preserve"> 支持文旅融合特色产业集群建设</w:t>
            </w:r>
          </w:p>
        </w:tc>
      </w:tr>
      <w:tr w14:paraId="7C599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740" w:type="dxa"/>
          </w:tcPr>
          <w:p w14:paraId="2291A888">
            <w:pPr>
              <w:pStyle w:val="10"/>
              <w:spacing w:line="560" w:lineRule="exact"/>
              <w:ind w:firstLine="442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时尚融合类产业集群：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清河羊绒及制品产业集群、南宫高档服装服饰产业集群、高阳纺织（毛巾）产业集群、白沟新城箱包产业集群、容城毛绒玩具产业集群、沧县时尚服装服饰产业集群、辛集皮革服装产业集群、枣强大营毛皮产业集群、青县化妆刷产业集群、河间工艺玻璃产业集群、沙河玻璃产业集群等。</w:t>
            </w:r>
          </w:p>
          <w:p w14:paraId="257B63EC">
            <w:pPr>
              <w:pStyle w:val="10"/>
              <w:spacing w:line="560" w:lineRule="exact"/>
              <w:ind w:firstLine="442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文化制造类产业集群：</w:t>
            </w: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曲阳雕刻产业集群、大城红木文化产业集群、曲周自行车（童车）产业集群、平乡自行车（童车）产业集群、武强—饶阳—肃宁乐器产业集群、峰峰磁州窑产业集群等。</w:t>
            </w:r>
          </w:p>
        </w:tc>
      </w:tr>
    </w:tbl>
    <w:p w14:paraId="428CCFE6">
      <w:pPr>
        <w:pStyle w:val="5"/>
        <w:spacing w:after="0"/>
        <w:outlineLvl w:val="1"/>
        <w:rPr>
          <w:rFonts w:hint="eastAsia" w:ascii="楷体_GB2312" w:hAnsi="楷体_GB2312" w:eastAsia="楷体_GB2312" w:cs="楷体_GB2312"/>
          <w:sz w:val="32"/>
          <w:szCs w:val="32"/>
        </w:rPr>
      </w:pPr>
      <w:bookmarkStart w:id="103" w:name="_Toc6587"/>
      <w:bookmarkStart w:id="104" w:name="_Toc20284"/>
      <w:bookmarkStart w:id="105" w:name="_Toc382"/>
      <w:bookmarkStart w:id="106" w:name="_Toc30685"/>
      <w:bookmarkStart w:id="107" w:name="_Toc19561"/>
      <w:bookmarkStart w:id="108" w:name="_Toc19780"/>
      <w:bookmarkStart w:id="109" w:name="_Toc20444"/>
      <w:r>
        <w:rPr>
          <w:rFonts w:hint="eastAsia" w:ascii="楷体_GB2312" w:hAnsi="楷体_GB2312" w:eastAsia="楷体_GB2312" w:cs="楷体_GB2312"/>
          <w:sz w:val="32"/>
          <w:szCs w:val="32"/>
        </w:rPr>
        <w:t>（三）推进文化和科技融合</w:t>
      </w:r>
      <w:bookmarkEnd w:id="103"/>
      <w:bookmarkEnd w:id="104"/>
      <w:bookmarkEnd w:id="105"/>
      <w:r>
        <w:rPr>
          <w:rFonts w:hint="eastAsia" w:ascii="楷体_GB2312" w:hAnsi="楷体_GB2312" w:eastAsia="楷体_GB2312" w:cs="楷体_GB2312"/>
          <w:sz w:val="32"/>
          <w:szCs w:val="32"/>
        </w:rPr>
        <w:t>发展</w:t>
      </w:r>
      <w:bookmarkEnd w:id="106"/>
      <w:bookmarkEnd w:id="107"/>
      <w:bookmarkEnd w:id="108"/>
      <w:bookmarkEnd w:id="109"/>
    </w:p>
    <w:p w14:paraId="215B7421">
      <w:pPr>
        <w:widowControl/>
        <w:spacing w:line="560" w:lineRule="exact"/>
        <w:ind w:firstLine="640" w:firstLineChars="200"/>
        <w:rPr>
          <w:rFonts w:hint="eastAsia" w:ascii="微软雅黑" w:hAnsi="微软雅黑" w:eastAsia="微软雅黑" w:cs="微软雅黑"/>
          <w:sz w:val="44"/>
          <w:szCs w:val="44"/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建立产学研用协同创新机制，推动文化企业与高校、科研机构合作，搭建文化科技融合公共服务平台，加强成果转化。</w:t>
      </w:r>
      <w:r>
        <w:rPr>
          <w:rFonts w:ascii="仿宋_GB2312" w:hAnsi="仿宋_GB2312" w:eastAsia="仿宋_GB2312" w:cs="仿宋_GB2312"/>
          <w:sz w:val="32"/>
          <w:szCs w:val="32"/>
        </w:rPr>
        <w:t>加大人工智能、虚拟现实</w:t>
      </w:r>
      <w:r>
        <w:rPr>
          <w:rFonts w:hint="eastAsia" w:ascii="仿宋_GB2312" w:hAnsi="仿宋_GB2312" w:eastAsia="仿宋_GB2312" w:cs="仿宋_GB2312"/>
          <w:sz w:val="32"/>
          <w:szCs w:val="32"/>
        </w:rPr>
        <w:t>等</w:t>
      </w:r>
      <w:r>
        <w:rPr>
          <w:rFonts w:ascii="仿宋_GB2312" w:hAnsi="仿宋_GB2312" w:eastAsia="仿宋_GB2312" w:cs="仿宋_GB2312"/>
          <w:sz w:val="32"/>
          <w:szCs w:val="32"/>
        </w:rPr>
        <w:t>技术在广播影视、出版发行、娱乐服务中的应用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推动文化产业数智化赋能、信息化转型</w:t>
      </w:r>
      <w:r>
        <w:rPr>
          <w:rFonts w:ascii="仿宋_GB2312" w:hAnsi="仿宋_GB2312" w:eastAsia="仿宋_GB2312" w:cs="仿宋_GB2312"/>
          <w:sz w:val="32"/>
          <w:szCs w:val="32"/>
        </w:rPr>
        <w:t>。</w:t>
      </w:r>
    </w:p>
    <w:p w14:paraId="680215AA">
      <w:pPr>
        <w:spacing w:line="560" w:lineRule="exact"/>
        <w:ind w:firstLine="640" w:firstLineChars="200"/>
        <w:jc w:val="left"/>
        <w:outlineLvl w:val="0"/>
        <w:rPr>
          <w:rFonts w:hint="eastAsia" w:ascii="黑体" w:hAnsi="黑体" w:eastAsia="黑体" w:cs="黑体"/>
          <w:sz w:val="32"/>
          <w:szCs w:val="32"/>
        </w:rPr>
      </w:pPr>
      <w:bookmarkStart w:id="110" w:name="_Toc16685"/>
      <w:bookmarkStart w:id="111" w:name="_Toc28422"/>
      <w:bookmarkStart w:id="112" w:name="_Toc19973"/>
      <w:bookmarkStart w:id="113" w:name="_Toc7348"/>
      <w:bookmarkStart w:id="114" w:name="_Toc91"/>
      <w:bookmarkStart w:id="115" w:name="_Toc12256"/>
      <w:r>
        <w:rPr>
          <w:rFonts w:hint="eastAsia" w:ascii="黑体" w:hAnsi="黑体" w:eastAsia="黑体" w:cs="黑体"/>
          <w:sz w:val="32"/>
          <w:szCs w:val="32"/>
        </w:rPr>
        <w:t>七、</w:t>
      </w:r>
      <w:bookmarkEnd w:id="110"/>
      <w:bookmarkEnd w:id="111"/>
      <w:r>
        <w:rPr>
          <w:rFonts w:hint="eastAsia" w:ascii="黑体" w:hAnsi="黑体" w:eastAsia="黑体" w:cs="黑体"/>
          <w:sz w:val="32"/>
          <w:szCs w:val="32"/>
        </w:rPr>
        <w:t>深化文化和旅游融合发展</w:t>
      </w:r>
      <w:bookmarkEnd w:id="112"/>
    </w:p>
    <w:p w14:paraId="0BFA36D0">
      <w:pPr>
        <w:spacing w:line="560" w:lineRule="exact"/>
        <w:ind w:firstLine="640" w:firstLineChars="200"/>
        <w:outlineLvl w:val="1"/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bookmarkStart w:id="116" w:name="_Toc473"/>
      <w:bookmarkStart w:id="117" w:name="_Toc17943"/>
      <w:bookmarkStart w:id="118" w:name="_Toc18013"/>
      <w:r>
        <w:rPr>
          <w:rFonts w:hint="eastAsia" w:ascii="楷体_GB2312" w:hAnsi="楷体_GB2312" w:eastAsia="楷体_GB2312" w:cs="楷体_GB2312"/>
          <w:sz w:val="32"/>
          <w:szCs w:val="32"/>
        </w:rPr>
        <w:t>（一）全链条提升旅游文化内涵</w:t>
      </w:r>
    </w:p>
    <w:p w14:paraId="1DA37816"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坚持以文塑旅、以旅彰文，强化IP打造、智慧赋能，推动旅游空间由景点景区向交互空间拓展、旅游行为由观光打卡向沉浸体验转型、文旅经济由门票收入向综合消费转变，进一步释放文旅消费潜力。深化“跟着文物游河北”活动，推出长城、大运河、万里茶道、太行古陉等一批文化遗产主题游径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鼓励文艺院团、艺术院校与旅游景区、文旅企业共建创作基地、共同开发演艺作品。引导旅游景区、度假区联动演艺、动漫、游戏、影视IP丰富产品供给，打造线下消费场景。</w:t>
      </w:r>
    </w:p>
    <w:p w14:paraId="68DD59F1">
      <w:pPr>
        <w:spacing w:line="560" w:lineRule="exact"/>
        <w:ind w:firstLine="640" w:firstLineChars="200"/>
        <w:outlineLvl w:val="1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（二）加强高品质旅游供给</w:t>
      </w:r>
    </w:p>
    <w:p w14:paraId="76BF232D">
      <w:pPr>
        <w:pStyle w:val="10"/>
        <w:ind w:firstLine="643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  <w:t>建设国内外知名旅游目的地。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建设一批富有文化底蕴、具有国际影响力的旅游景区、度假区和世界最佳旅游乡村。深度运营崇礼雪场资源，引进高端品牌业态和品牌赛事，建设国际冰雪旅游目的地。</w:t>
      </w:r>
    </w:p>
    <w:tbl>
      <w:tblPr>
        <w:tblStyle w:val="12"/>
        <w:tblW w:w="89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10"/>
      </w:tblGrid>
      <w:tr w14:paraId="18E51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910" w:type="dxa"/>
          </w:tcPr>
          <w:p w14:paraId="013C823E">
            <w:pPr>
              <w:pStyle w:val="10"/>
              <w:ind w:firstLine="562"/>
              <w:jc w:val="center"/>
              <w:rPr>
                <w:rFonts w:hint="eastAsia" w:ascii="仿宋_GB2312" w:hAnsi="宋体" w:eastAsia="仿宋_GB2312" w:cs="宋体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专栏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sz w:val="28"/>
                <w:szCs w:val="28"/>
              </w:rPr>
              <w:t>8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 xml:space="preserve"> 国内外知名旅游目的地</w:t>
            </w:r>
          </w:p>
        </w:tc>
      </w:tr>
      <w:tr w14:paraId="34558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10" w:type="dxa"/>
          </w:tcPr>
          <w:p w14:paraId="2F1C3248">
            <w:pPr>
              <w:spacing w:line="560" w:lineRule="exact"/>
              <w:ind w:firstLine="442" w:firstLineChars="200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世界文化遗产：</w:t>
            </w:r>
            <w:r>
              <w:rPr>
                <w:rFonts w:hint="eastAsia" w:ascii="宋体" w:hAnsi="宋体" w:cs="宋体"/>
                <w:sz w:val="22"/>
                <w:szCs w:val="22"/>
              </w:rPr>
              <w:t>提升万里长城（河北段）、承德避暑山庄及周围寺庙、明清皇家陵寝（清东陵、清西陵）、中国大运河（河北段）保护利用水平。</w:t>
            </w:r>
          </w:p>
          <w:p w14:paraId="29EC316A">
            <w:pPr>
              <w:spacing w:line="560" w:lineRule="exact"/>
              <w:ind w:firstLine="442" w:firstLineChars="200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世界自然遗产：</w:t>
            </w:r>
            <w:r>
              <w:rPr>
                <w:rFonts w:hint="eastAsia" w:ascii="宋体" w:hAnsi="宋体" w:cs="宋体"/>
                <w:sz w:val="22"/>
                <w:szCs w:val="22"/>
              </w:rPr>
              <w:t>做好沧州南大港候鸟栖息地保护利用，发展摄影观鸟、生态观光、科普研学等生态旅游产品。</w:t>
            </w:r>
          </w:p>
          <w:p w14:paraId="19CC5A45">
            <w:pPr>
              <w:spacing w:line="560" w:lineRule="exact"/>
              <w:ind w:firstLine="442" w:firstLineChars="200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世界地质公园：</w:t>
            </w:r>
            <w:r>
              <w:rPr>
                <w:rFonts w:hint="eastAsia" w:ascii="宋体" w:hAnsi="宋体" w:cs="宋体"/>
                <w:sz w:val="22"/>
                <w:szCs w:val="22"/>
              </w:rPr>
              <w:t>提升白石山、野三坡地质公园发展水平，推动太行山嶂石岩地质公园等创建世界地质公园。</w:t>
            </w:r>
          </w:p>
          <w:p w14:paraId="47BE32FE">
            <w:pPr>
              <w:spacing w:line="560" w:lineRule="exact"/>
              <w:ind w:firstLine="442" w:firstLineChars="200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全球重要农业文化遗产：</w:t>
            </w:r>
            <w:r>
              <w:rPr>
                <w:rFonts w:hint="eastAsia" w:ascii="宋体" w:hAnsi="宋体" w:cs="宋体"/>
                <w:sz w:val="22"/>
                <w:szCs w:val="22"/>
              </w:rPr>
              <w:t>做好宣化城市传统葡萄园、涉县旱作石堰梯田、宽城传统板栗栽培系统保护利用，培育“农遗良品”。</w:t>
            </w:r>
          </w:p>
          <w:p w14:paraId="4078BCEC">
            <w:pPr>
              <w:spacing w:line="560" w:lineRule="exact"/>
              <w:ind w:firstLine="442" w:firstLineChars="200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世界最佳旅游乡村：</w:t>
            </w:r>
            <w:r>
              <w:rPr>
                <w:rFonts w:hint="eastAsia" w:ascii="宋体" w:hAnsi="宋体" w:cs="宋体"/>
                <w:sz w:val="22"/>
                <w:szCs w:val="22"/>
              </w:rPr>
              <w:t>推动涉县大洼村创建世界最佳旅游乡村。</w:t>
            </w:r>
          </w:p>
        </w:tc>
      </w:tr>
    </w:tbl>
    <w:p w14:paraId="4D51FDD2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60" w:lineRule="exact"/>
        <w:ind w:left="0" w:leftChars="0"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  <w:t>打造京津微度假首选目的地。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加强针对京津市场的目标营销，开发高品质微度假、周末游产品，提高游客复游率。</w:t>
      </w:r>
    </w:p>
    <w:tbl>
      <w:tblPr>
        <w:tblStyle w:val="12"/>
        <w:tblW w:w="88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5"/>
      </w:tblGrid>
      <w:tr w14:paraId="0B677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895" w:type="dxa"/>
          </w:tcPr>
          <w:p w14:paraId="71D47091"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专栏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sz w:val="28"/>
                <w:szCs w:val="28"/>
              </w:rPr>
              <w:t>9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 xml:space="preserve"> 高品质微度假、周末游产品</w:t>
            </w:r>
          </w:p>
        </w:tc>
      </w:tr>
      <w:tr w14:paraId="56032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5" w:type="dxa"/>
          </w:tcPr>
          <w:p w14:paraId="71F886C0">
            <w:pPr>
              <w:spacing w:line="560" w:lineRule="exact"/>
              <w:ind w:firstLine="442" w:firstLineChars="200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品质滑雪：</w:t>
            </w:r>
            <w:r>
              <w:rPr>
                <w:rFonts w:hint="eastAsia" w:ascii="宋体" w:hAnsi="宋体" w:cs="宋体"/>
                <w:sz w:val="22"/>
                <w:szCs w:val="22"/>
              </w:rPr>
              <w:t>打造崇礼、涞源、金山岭等一批高品质滑雪旅游度假集群。</w:t>
            </w:r>
          </w:p>
          <w:p w14:paraId="030407A3">
            <w:pPr>
              <w:spacing w:line="560" w:lineRule="exact"/>
              <w:ind w:firstLine="442" w:firstLineChars="200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生态康养：</w:t>
            </w:r>
            <w:r>
              <w:rPr>
                <w:rFonts w:hint="eastAsia" w:ascii="宋体" w:hAnsi="宋体" w:cs="宋体"/>
                <w:sz w:val="22"/>
                <w:szCs w:val="22"/>
              </w:rPr>
              <w:t>推动国家“一号风景大道”+热河温泉、草原天路+库伦淖尔、白石山+华中假日、东太行+武安民宿等生态旅游区与周边度假区、民宿等联动发展。</w:t>
            </w:r>
          </w:p>
          <w:p w14:paraId="129CE0E5">
            <w:pPr>
              <w:spacing w:line="560" w:lineRule="exact"/>
              <w:ind w:firstLine="442" w:firstLineChars="200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精品民宿：</w:t>
            </w:r>
            <w:r>
              <w:rPr>
                <w:rFonts w:hint="eastAsia" w:ascii="宋体" w:hAnsi="宋体" w:cs="宋体"/>
                <w:sz w:val="22"/>
                <w:szCs w:val="22"/>
              </w:rPr>
              <w:t>加大“长城人家”“承德民宿”“保定小院”等品牌推广力度，推动乡村民宿经济发展。</w:t>
            </w:r>
          </w:p>
          <w:p w14:paraId="5EF1568D">
            <w:pPr>
              <w:spacing w:line="560" w:lineRule="exact"/>
              <w:ind w:firstLine="442" w:firstLineChars="200"/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社区度假：</w:t>
            </w:r>
            <w:r>
              <w:rPr>
                <w:rFonts w:hint="eastAsia" w:ascii="宋体" w:hAnsi="宋体" w:cs="宋体"/>
                <w:sz w:val="22"/>
                <w:szCs w:val="22"/>
              </w:rPr>
              <w:t>重点培育秦皇岛七里海旅游度假区、承德兴隆雾灵山旅游度假区、崇礼翠云山旅游度假区等环首都区域度假品牌。</w:t>
            </w:r>
          </w:p>
          <w:p w14:paraId="3D504F79">
            <w:pPr>
              <w:pStyle w:val="8"/>
              <w:widowControl/>
              <w:spacing w:beforeAutospacing="0" w:afterAutospacing="0" w:line="560" w:lineRule="exact"/>
              <w:ind w:firstLine="442" w:firstLineChars="200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精品演艺：</w:t>
            </w:r>
            <w:r>
              <w:rPr>
                <w:rFonts w:hint="eastAsia" w:ascii="宋体" w:hAnsi="宋体" w:cs="宋体"/>
                <w:sz w:val="22"/>
                <w:szCs w:val="22"/>
              </w:rPr>
              <w:t>提升只有红楼梦·戏剧幻城、承德鼎盛王</w:t>
            </w:r>
            <w:r>
              <w:rPr>
                <w:rFonts w:hint="eastAsia" w:ascii="宋体" w:hAnsi="宋体" w:cs="宋体"/>
                <w:kern w:val="2"/>
                <w:sz w:val="22"/>
                <w:szCs w:val="22"/>
              </w:rPr>
              <w:t>朝文化产业园、北戴河·不同艺术小镇</w:t>
            </w:r>
            <w:r>
              <w:rPr>
                <w:rFonts w:hint="eastAsia" w:ascii="宋体" w:hAnsi="宋体" w:cs="宋体"/>
                <w:sz w:val="22"/>
                <w:szCs w:val="22"/>
              </w:rPr>
              <w:t>等一批精品演艺项目，提高阿那亚戏剧节、张北草原音乐节等品牌影响力。</w:t>
            </w:r>
          </w:p>
          <w:p w14:paraId="2DC6D94F">
            <w:pPr>
              <w:spacing w:line="560" w:lineRule="exact"/>
              <w:ind w:firstLine="442" w:firstLineChars="200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亲子家庭：</w:t>
            </w:r>
            <w:r>
              <w:rPr>
                <w:rFonts w:hint="eastAsia" w:ascii="宋体" w:hAnsi="宋体" w:cs="宋体"/>
                <w:sz w:val="22"/>
                <w:szCs w:val="22"/>
              </w:rPr>
              <w:t>完善丰宁中国马镇、河头老街、唐山宴、正定古城、太行水镇、张家口桑干河大峡谷等地自驾游、亲子游服务设施。</w:t>
            </w:r>
          </w:p>
        </w:tc>
      </w:tr>
    </w:tbl>
    <w:p w14:paraId="084E1AE8">
      <w:pPr>
        <w:pStyle w:val="10"/>
        <w:spacing w:line="560" w:lineRule="exact"/>
        <w:ind w:firstLine="643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  <w:t>加强旅游休闲城市建设。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助力强省会战略，推动石家庄建设旅游枢纽城市，更好发挥游客集散、辐射带动作用。推动承德、秦皇岛等地依托核心资源培育城市IP，打造重点旅游城市。推动崇礼等特色旅游地差异化发展。大力发展文商旅综合体和文博展览、城市漫游等业态。推动休闲街区升级，打造主客共享的城市客厅。</w:t>
      </w:r>
    </w:p>
    <w:p w14:paraId="59083236">
      <w:pPr>
        <w:pStyle w:val="10"/>
        <w:spacing w:line="560" w:lineRule="exact"/>
        <w:ind w:firstLine="643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  <w:t>因地制宜发展县域旅游。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以重点文旅项目和现有流量产品为引擎，集中培育一批辐射带动力强的区域文旅流量综合体，完善旅游配套服务，全面提升县域旅游发展能级。</w:t>
      </w:r>
    </w:p>
    <w:p w14:paraId="08533001">
      <w:pPr>
        <w:pStyle w:val="10"/>
        <w:spacing w:line="560" w:lineRule="exact"/>
        <w:ind w:firstLine="643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  <w:t>推动乡村旅游提质增效。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完善乡村旅游重点村镇管理机制，实施美学艺术赋能乡村面貌焕新、和美乡村精品化建设专项行动，培育等级旅游民宿，推进乡村旅游片区化、集群化发展。</w:t>
      </w:r>
    </w:p>
    <w:tbl>
      <w:tblPr>
        <w:tblStyle w:val="12"/>
        <w:tblW w:w="889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2"/>
      </w:tblGrid>
      <w:tr w14:paraId="74A803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8892" w:type="dxa"/>
          </w:tcPr>
          <w:p w14:paraId="0880CB00"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专栏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sz w:val="28"/>
                <w:szCs w:val="28"/>
              </w:rPr>
              <w:t>10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 xml:space="preserve"> 乡村旅游重点片区</w:t>
            </w:r>
          </w:p>
        </w:tc>
      </w:tr>
      <w:tr w14:paraId="7FEF3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2" w:type="dxa"/>
          </w:tcPr>
          <w:p w14:paraId="06CA8247">
            <w:pPr>
              <w:spacing w:line="560" w:lineRule="exact"/>
              <w:ind w:firstLine="440" w:firstLineChars="200"/>
            </w:pPr>
            <w:r>
              <w:rPr>
                <w:rFonts w:hint="eastAsia" w:ascii="宋体" w:hAnsi="宋体" w:cs="宋体"/>
                <w:sz w:val="22"/>
                <w:szCs w:val="22"/>
              </w:rPr>
              <w:t>石家庄井陉古村落乡村旅游片区、承德兴隆雾灵山乡村旅游片区、张家口蔚县古堡乡村旅游片区、秦皇岛北戴河乡村旅游片区、唐山迁安长城乡村旅游片区、保定易水湖—狼牙山乡村旅游片区、邢台信都大峡谷—前南峪乡村旅游片区、邯郸武安东太行乡村旅游片区、定州东亭乡村旅游片区、雄安白洋淀乡村旅游片区等。</w:t>
            </w:r>
          </w:p>
        </w:tc>
      </w:tr>
    </w:tbl>
    <w:p w14:paraId="480206B2">
      <w:pPr>
        <w:spacing w:line="560" w:lineRule="exact"/>
        <w:ind w:firstLine="643" w:firstLineChars="200"/>
        <w:rPr>
          <w:rFonts w:hint="eastAsia" w:ascii="宋体" w:hAnsi="宋体" w:cs="宋体"/>
          <w:sz w:val="22"/>
          <w:szCs w:val="2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  <w:t>提升A级旅游景区、旅游度假区品质。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实施旅游景区强基焕新行动，推动管理服务创新、基础设施更新、产品业态上新、文旅融合见新、智慧旅游赋新、宣传推广出新、资源环境清新。实施旅游度假区品质提升行动，实现功能化、品质化、特色化发展。支持正定古城、赞皇嶂石岩、峰峰矿区响堂山等创建国家5A级旅游景区。</w:t>
      </w:r>
    </w:p>
    <w:p w14:paraId="6C35FACD">
      <w:pPr>
        <w:pStyle w:val="10"/>
        <w:spacing w:line="560" w:lineRule="exact"/>
        <w:ind w:firstLine="643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创新深度融合的旅游产品。</w:t>
      </w:r>
      <w:r>
        <w:rPr>
          <w:rFonts w:hint="eastAsia" w:ascii="仿宋_GB2312" w:hAnsi="仿宋_GB2312" w:eastAsia="仿宋_GB2312" w:cs="仿宋_GB2312"/>
          <w:sz w:val="32"/>
          <w:szCs w:val="32"/>
        </w:rPr>
        <w:t>发展海洋、冰雪、生态、研学、红色旅游等特色业态和产品，丰富“演出+旅游”“赛事+旅游”“美食+旅游”，推出一批定制化、个性化旅游线路。推动发展</w:t>
      </w:r>
      <w:r>
        <w:rPr>
          <w:rFonts w:ascii="仿宋_GB2312" w:hAnsi="仿宋_GB2312" w:eastAsia="仿宋_GB2312" w:cs="仿宋_GB2312"/>
          <w:sz w:val="32"/>
          <w:szCs w:val="32"/>
        </w:rPr>
        <w:t>演艺秀场、国潮市集、夜游街区、数字体验等</w:t>
      </w:r>
      <w:r>
        <w:rPr>
          <w:rFonts w:hint="eastAsia" w:ascii="仿宋_GB2312" w:hAnsi="仿宋_GB2312" w:eastAsia="仿宋_GB2312" w:cs="仿宋_GB2312"/>
          <w:sz w:val="32"/>
          <w:szCs w:val="32"/>
        </w:rPr>
        <w:t>融合</w:t>
      </w:r>
      <w:r>
        <w:rPr>
          <w:rFonts w:ascii="仿宋_GB2312" w:hAnsi="仿宋_GB2312" w:eastAsia="仿宋_GB2312" w:cs="仿宋_GB2312"/>
          <w:sz w:val="32"/>
          <w:szCs w:val="32"/>
        </w:rPr>
        <w:t>业态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培育一批沉浸式互动体验场景</w:t>
      </w:r>
      <w:r>
        <w:rPr>
          <w:rFonts w:hint="eastAsia" w:ascii="仿宋_GB2312" w:hAnsi="仿宋_GB2312" w:eastAsia="仿宋_GB2312" w:cs="仿宋_GB2312"/>
          <w:sz w:val="32"/>
          <w:szCs w:val="32"/>
        </w:rPr>
        <w:t>。开展数字赋能文旅场景建设行动，利用网络直播、短视频平台开展线上旅游展示。</w:t>
      </w:r>
    </w:p>
    <w:tbl>
      <w:tblPr>
        <w:tblStyle w:val="12"/>
        <w:tblW w:w="88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2"/>
      </w:tblGrid>
      <w:tr w14:paraId="26084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842" w:type="dxa"/>
          </w:tcPr>
          <w:p w14:paraId="3DC2F24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专栏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sz w:val="28"/>
                <w:szCs w:val="28"/>
              </w:rPr>
              <w:t>11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 xml:space="preserve"> 发展特色旅游业态</w:t>
            </w:r>
          </w:p>
        </w:tc>
      </w:tr>
      <w:tr w14:paraId="4DAEA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42" w:type="dxa"/>
          </w:tcPr>
          <w:p w14:paraId="0155CC29">
            <w:pPr>
              <w:spacing w:line="560" w:lineRule="exact"/>
              <w:ind w:firstLine="442" w:firstLineChars="200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海洋旅游：</w:t>
            </w:r>
            <w:r>
              <w:rPr>
                <w:rFonts w:hint="eastAsia" w:ascii="宋体" w:hAnsi="宋体" w:cs="宋体"/>
                <w:sz w:val="22"/>
                <w:szCs w:val="22"/>
              </w:rPr>
              <w:t>大力发展滨海文化、康养度假、海洋运动、邮轮游艇、会展旅游等，建设山海关、北戴河、唐山国际旅游岛等高品质滨海旅游目的地。</w:t>
            </w:r>
          </w:p>
          <w:p w14:paraId="789EC9EF">
            <w:pPr>
              <w:spacing w:line="560" w:lineRule="exact"/>
              <w:ind w:firstLine="442" w:firstLineChars="200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冰雪旅游：</w:t>
            </w:r>
            <w:r>
              <w:rPr>
                <w:rFonts w:hint="eastAsia" w:ascii="宋体" w:hAnsi="宋体" w:cs="宋体"/>
                <w:sz w:val="22"/>
                <w:szCs w:val="22"/>
              </w:rPr>
              <w:t>培育高品质滑雪旅游度假地，丰富娱乐场景，促进冰雪旅游大众化，发展教育培训、装备制造等关联产业，推动从单季运营向四季运营拓展。</w:t>
            </w:r>
          </w:p>
          <w:p w14:paraId="752A453E">
            <w:pPr>
              <w:spacing w:line="560" w:lineRule="exact"/>
              <w:ind w:firstLine="442" w:firstLineChars="200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生态旅游：</w:t>
            </w:r>
            <w:r>
              <w:rPr>
                <w:rFonts w:hint="eastAsia" w:ascii="宋体" w:hAnsi="宋体" w:cs="宋体"/>
                <w:sz w:val="22"/>
                <w:szCs w:val="22"/>
              </w:rPr>
              <w:t>丰富坝上草原、太行山、燕山以及平原湿地旅游产品和服务供给，提倡绿色出行、低碳消费、“无痕旅游”。</w:t>
            </w:r>
          </w:p>
          <w:p w14:paraId="1E7A3ED0">
            <w:pPr>
              <w:spacing w:line="560" w:lineRule="exact"/>
              <w:ind w:firstLine="442" w:firstLineChars="200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研学旅游：</w:t>
            </w:r>
            <w:r>
              <w:rPr>
                <w:rFonts w:hint="eastAsia" w:ascii="宋体" w:hAnsi="宋体" w:cs="宋体"/>
                <w:sz w:val="22"/>
                <w:szCs w:val="22"/>
              </w:rPr>
              <w:t>推出长城文化、红色教育、地质研学、燕赵历史等主题线路和优质课程。举办河北省研学旅游交流活动，打造一批具有影响力的研学旅游品牌。</w:t>
            </w:r>
          </w:p>
          <w:p w14:paraId="4154323F">
            <w:pPr>
              <w:spacing w:line="560" w:lineRule="exact"/>
              <w:ind w:firstLine="442" w:firstLineChars="200"/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红色旅游：</w:t>
            </w:r>
            <w:r>
              <w:rPr>
                <w:rFonts w:hint="eastAsia" w:ascii="宋体" w:hAnsi="宋体" w:cs="宋体"/>
                <w:sz w:val="22"/>
                <w:szCs w:val="22"/>
              </w:rPr>
              <w:t>推动平山、阜平、涉县等地红色旅游景区创新展陈方式和体验产品，优化讲解服务，打造一批红色旅游线路。</w:t>
            </w:r>
          </w:p>
        </w:tc>
      </w:tr>
    </w:tbl>
    <w:p w14:paraId="7F3DFA44">
      <w:pPr>
        <w:pStyle w:val="10"/>
        <w:spacing w:line="20" w:lineRule="exact"/>
        <w:ind w:firstLine="0" w:firstLineChars="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p w14:paraId="7D6BF3E4">
      <w:pPr>
        <w:spacing w:line="560" w:lineRule="exact"/>
        <w:ind w:firstLine="640" w:firstLineChars="200"/>
        <w:outlineLvl w:val="1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（三）提高旅游服务质量</w:t>
      </w:r>
    </w:p>
    <w:p w14:paraId="5AB5F7AA">
      <w:pPr>
        <w:pStyle w:val="10"/>
        <w:spacing w:line="560" w:lineRule="exact"/>
        <w:ind w:firstLine="643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提升改造旅游基础服务设施。</w:t>
      </w:r>
      <w:r>
        <w:rPr>
          <w:rFonts w:hint="eastAsia" w:ascii="仿宋_GB2312" w:hAnsi="仿宋_GB2312" w:eastAsia="仿宋_GB2312" w:cs="仿宋_GB2312"/>
          <w:sz w:val="32"/>
          <w:szCs w:val="32"/>
        </w:rPr>
        <w:t>积极融入京津冀交通网络，推动旅游交通联程联运，实施观光旅游列车、高速公路服务区提升等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“交通+旅游”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项目。实施旅游公共服务重点工程，加强适应老年人、未成年人、孕婴、残疾人等群体需求的设施建设改造。统筹推动文化和旅游公共服务设施建设、管理和使用，促进文化和旅游公共服务功能融合。</w:t>
      </w:r>
    </w:p>
    <w:tbl>
      <w:tblPr>
        <w:tblStyle w:val="12"/>
        <w:tblW w:w="8807" w:type="dxa"/>
        <w:tblInd w:w="1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7"/>
      </w:tblGrid>
      <w:tr w14:paraId="2337E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28B0B3">
            <w:pPr>
              <w:snapToGrid w:val="0"/>
              <w:spacing w:line="560" w:lineRule="exact"/>
              <w:jc w:val="center"/>
              <w:rPr>
                <w:rFonts w:ascii="仿宋_GB2312" w:eastAsia="仿宋_GB2312" w:cs="仿宋_GB2312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sz w:val="28"/>
                <w:szCs w:val="28"/>
                <w:lang w:bidi="ar"/>
              </w:rPr>
              <w:t>专栏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sz w:val="28"/>
                <w:szCs w:val="28"/>
                <w:lang w:bidi="ar"/>
              </w:rPr>
              <w:t xml:space="preserve">12 </w:t>
            </w:r>
            <w:r>
              <w:rPr>
                <w:rFonts w:hint="eastAsia" w:ascii="仿宋_GB2312" w:hAnsi="Times New Roman" w:eastAsia="仿宋_GB2312" w:cs="仿宋_GB2312"/>
                <w:b/>
                <w:bCs/>
                <w:sz w:val="28"/>
                <w:szCs w:val="28"/>
                <w:lang w:bidi="ar"/>
              </w:rPr>
              <w:t>旅游公共服务重点工程</w:t>
            </w:r>
          </w:p>
        </w:tc>
      </w:tr>
      <w:tr w14:paraId="6C36A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E6AC38">
            <w:pPr>
              <w:spacing w:line="560" w:lineRule="exact"/>
              <w:ind w:firstLine="442" w:firstLineChars="200"/>
              <w:rPr>
                <w:rFonts w:hint="eastAsia" w:ascii="宋体" w:hAnsi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bidi="ar"/>
              </w:rPr>
              <w:t>旅游服务中心优化工程：</w:t>
            </w:r>
            <w:r>
              <w:rPr>
                <w:rFonts w:hint="eastAsia" w:ascii="宋体" w:hAnsi="宋体" w:cs="宋体"/>
                <w:sz w:val="22"/>
                <w:szCs w:val="22"/>
                <w:lang w:bidi="ar"/>
              </w:rPr>
              <w:t>以提升和改造既有设施为主，打造一批新型旅游服务中心，推动旅游服务中心和旅游集散中心一体化建设，提升服务效能。</w:t>
            </w:r>
          </w:p>
          <w:p w14:paraId="3AA01F68">
            <w:pPr>
              <w:spacing w:line="560" w:lineRule="exact"/>
              <w:ind w:firstLine="442" w:firstLineChars="200"/>
              <w:rPr>
                <w:rFonts w:hint="eastAsia" w:ascii="宋体" w:hAnsi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bidi="ar"/>
              </w:rPr>
              <w:t>旅游标识标牌建设工程：</w:t>
            </w:r>
            <w:r>
              <w:rPr>
                <w:rFonts w:hint="eastAsia" w:ascii="宋体" w:hAnsi="宋体" w:cs="宋体"/>
                <w:sz w:val="22"/>
                <w:szCs w:val="22"/>
                <w:lang w:bidi="ar"/>
              </w:rPr>
              <w:t>完善城市、道路旅游标识体系，提升标识标牌的规范性、辨识度，探索智能化旅游标识建设。</w:t>
            </w:r>
          </w:p>
          <w:p w14:paraId="5EBC51EA">
            <w:pPr>
              <w:spacing w:line="560" w:lineRule="exact"/>
              <w:ind w:firstLine="442" w:firstLineChars="200"/>
              <w:rPr>
                <w:rFonts w:hint="eastAsia" w:ascii="宋体" w:hAnsi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bidi="ar"/>
              </w:rPr>
              <w:t>旅游厕所质量提升工程：</w:t>
            </w:r>
            <w:r>
              <w:rPr>
                <w:rFonts w:hint="eastAsia" w:ascii="宋体" w:hAnsi="宋体" w:cs="宋体"/>
                <w:sz w:val="22"/>
                <w:szCs w:val="22"/>
                <w:lang w:bidi="ar"/>
              </w:rPr>
              <w:t>全面提升旅游厕所标准化建设水平，加强新技术应用和移动厕所配置，做好旅游厕所电子地图标注工作。</w:t>
            </w:r>
          </w:p>
          <w:p w14:paraId="59C982A2">
            <w:pPr>
              <w:spacing w:line="560" w:lineRule="exact"/>
              <w:ind w:firstLine="442" w:firstLineChars="200"/>
              <w:rPr>
                <w:rFonts w:hint="eastAsia" w:ascii="宋体" w:hAnsi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bidi="ar"/>
              </w:rPr>
              <w:t>自驾车旅居车营地和旅游停车场完善工程：</w:t>
            </w:r>
            <w:r>
              <w:rPr>
                <w:rFonts w:hint="eastAsia" w:ascii="宋体" w:hAnsi="宋体" w:cs="宋体"/>
                <w:sz w:val="22"/>
                <w:szCs w:val="22"/>
                <w:lang w:bidi="ar"/>
              </w:rPr>
              <w:t>建设提升一批服务于重点旅游区的自驾车旅居车营地和旅游停车场，完善充电桩等新能源服务设施。</w:t>
            </w:r>
          </w:p>
          <w:p w14:paraId="3EBADA9C">
            <w:pPr>
              <w:spacing w:line="560" w:lineRule="exact"/>
              <w:ind w:firstLine="442" w:firstLineChars="200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bidi="ar"/>
              </w:rPr>
              <w:t>旅游风景道建设提升工程：</w:t>
            </w:r>
            <w:r>
              <w:rPr>
                <w:rFonts w:hint="eastAsia" w:ascii="宋体" w:hAnsi="宋体" w:cs="宋体"/>
                <w:sz w:val="22"/>
                <w:szCs w:val="22"/>
                <w:lang w:bidi="ar"/>
              </w:rPr>
              <w:t>完善草原天路、国家“一号风景大道”、太行山旅游风景道等公共服务设施，优化沿线环境，拓展服务功能。</w:t>
            </w:r>
          </w:p>
        </w:tc>
      </w:tr>
    </w:tbl>
    <w:p w14:paraId="35B2B8AB">
      <w:pPr>
        <w:pStyle w:val="10"/>
        <w:spacing w:line="560" w:lineRule="exact"/>
        <w:ind w:firstLine="643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打造“微笑河北”文旅服务品牌。</w:t>
      </w:r>
      <w:r>
        <w:rPr>
          <w:rFonts w:hint="eastAsia" w:ascii="仿宋_GB2312" w:hAnsi="仿宋_GB2312" w:eastAsia="仿宋_GB2312" w:cs="仿宋_GB2312"/>
          <w:sz w:val="32"/>
          <w:szCs w:val="32"/>
        </w:rPr>
        <w:t>出台文旅行业“微笑河北”服务规范，全面提升文旅服务品质。引导景区、旅行社、酒店、文化场所等提升产品创新和服务能力。健全文旅保险保障体系，鼓励保险机构推出文旅综合险、高风险项目专属险种。</w:t>
      </w:r>
    </w:p>
    <w:p w14:paraId="2AADE6C5">
      <w:pPr>
        <w:pStyle w:val="10"/>
        <w:spacing w:line="560" w:lineRule="exact"/>
        <w:ind w:firstLine="643"/>
        <w:rPr>
          <w:rFonts w:ascii="仿宋_GB2312" w:eastAsia="仿宋_GB2312" w:cs="Times New Roman"/>
          <w:sz w:val="32"/>
          <w:szCs w:val="32"/>
        </w:rPr>
      </w:pPr>
      <w:r>
        <w:rPr>
          <w:rFonts w:hint="eastAsia" w:ascii="仿宋_GB2312" w:eastAsia="仿宋_GB2312" w:cs="Times New Roman"/>
          <w:b/>
          <w:bCs/>
          <w:sz w:val="32"/>
          <w:szCs w:val="32"/>
        </w:rPr>
        <w:t>大力发展智慧旅游。</w:t>
      </w:r>
      <w:r>
        <w:rPr>
          <w:rFonts w:hint="eastAsia" w:ascii="仿宋_GB2312" w:eastAsia="仿宋_GB2312" w:cs="Times New Roman"/>
          <w:sz w:val="32"/>
          <w:szCs w:val="32"/>
        </w:rPr>
        <w:t>推进旅游景区、度假区、街区智慧化建设，培育一批智慧旅游沉浸式体验空间和项目。广泛运用数智技术开发新型产品，推动数字赋能文旅场景建设。开发旅游平台“AI行程规划”功能，根据游客需求生成“千人千线”定制化行程。</w:t>
      </w:r>
    </w:p>
    <w:p w14:paraId="693F8432">
      <w:pPr>
        <w:spacing w:line="560" w:lineRule="exact"/>
        <w:ind w:firstLine="640" w:firstLineChars="200"/>
        <w:outlineLvl w:val="1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（四）深化“文旅+百业”“百业+文旅”</w:t>
      </w:r>
    </w:p>
    <w:p w14:paraId="6A809C10">
      <w:pPr>
        <w:pStyle w:val="10"/>
        <w:spacing w:line="560" w:lineRule="exact"/>
        <w:ind w:firstLine="640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活化利用工业遗址，大力发展工业旅游。依托特色农业产业及园区，培育农事体验、休闲露营等业态。促进体育赛事与文化旅游融合，做优“跟着赛事去旅行”品牌。拓展银发经济，推出康养、怀旧游、专列游等主题产品。实施“河北游礼”文创产品提升行动，推出一批文创精品。开展“百城百区”“百城千站”文化和旅游消费行动，推动商业综合体、旅游景区、街区等打造创意市集、演出新空间，培育一批多业态融合消费新场景。</w:t>
      </w:r>
      <w:bookmarkEnd w:id="116"/>
      <w:bookmarkEnd w:id="117"/>
      <w:bookmarkEnd w:id="118"/>
      <w:bookmarkStart w:id="119" w:name="_Toc16602"/>
      <w:bookmarkStart w:id="120" w:name="_Toc24389"/>
      <w:bookmarkStart w:id="121" w:name="_Toc22916"/>
    </w:p>
    <w:p w14:paraId="4DB65DC9">
      <w:pPr>
        <w:pStyle w:val="10"/>
        <w:ind w:firstLine="640"/>
        <w:outlineLvl w:val="1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（五）加强文旅品牌建设</w:t>
      </w:r>
      <w:bookmarkEnd w:id="119"/>
      <w:bookmarkEnd w:id="120"/>
      <w:bookmarkEnd w:id="121"/>
    </w:p>
    <w:p w14:paraId="5CB5EA56">
      <w:pPr>
        <w:widowControl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提升品牌宣推质效。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丰富河北文旅品牌内涵，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推动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各市谋划有特色有创意的品牌营销推广活动。</w:t>
      </w:r>
      <w:r>
        <w:rPr>
          <w:rFonts w:ascii="仿宋_GB2312" w:hAnsi="仿宋_GB2312" w:eastAsia="仿宋_GB2312" w:cs="仿宋_GB2312"/>
          <w:sz w:val="32"/>
          <w:szCs w:val="40"/>
        </w:rPr>
        <w:t>围绕“五带”、贯穿“四季”，开展“跟着季节游河北”等主题推广活动。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加强旅游市场营销。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加大京津市场文旅宣传力度，拓展长三角、成渝等重点客源市场，加强粤港澳大湾区宣传营销，吸引更多港澳游客来冀旅游。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扩大对外交流合作。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对接海外中国文化中心、海外签证中心等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设立河北文旅推广中心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。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面向“一带一路”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沿线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国家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地区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）及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重点客源国开展文化交流和旅游推介活动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以山海关、金山岭长城等河北入境游十大目的地为重点，联合京津推出精品入境游线路。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用好240小时过境免签政策</w:t>
      </w:r>
      <w: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推动完善口岸和重要交通枢纽的服务设施，在重点文旅场所配备多语种标识标牌，</w:t>
      </w:r>
      <w:r>
        <w:rPr>
          <w:rFonts w:hint="eastAsia" w:ascii="仿宋_GB2312" w:hAnsi="仿宋_GB2312" w:eastAsia="仿宋_GB2312" w:cs="仿宋_GB2312"/>
          <w:sz w:val="32"/>
          <w:szCs w:val="32"/>
        </w:rPr>
        <w:t>推动大兴国际机场、秦皇岛港等布局免税店、离境退税商店，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改善外卡受理环境，提升移动支付便利性，</w:t>
      </w:r>
      <w:bookmarkStart w:id="122" w:name="OLE_LINK3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不断</w:t>
      </w:r>
      <w:r>
        <w:rPr>
          <w:rFonts w:hint="eastAsia" w:ascii="仿宋_GB2312" w:hAnsi="仿宋_GB2312" w:eastAsia="仿宋_GB2312" w:cs="仿宋_GB2312"/>
          <w:sz w:val="32"/>
          <w:szCs w:val="32"/>
        </w:rPr>
        <w:t>拓展入境旅游消费</w:t>
      </w:r>
      <w:bookmarkEnd w:id="122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。</w:t>
      </w:r>
    </w:p>
    <w:p w14:paraId="174BEE3F">
      <w:pPr>
        <w:spacing w:line="560" w:lineRule="exact"/>
        <w:ind w:firstLine="640" w:firstLineChars="200"/>
        <w:jc w:val="left"/>
        <w:outlineLvl w:val="0"/>
        <w:rPr>
          <w:rFonts w:hint="eastAsia" w:ascii="黑体" w:hAnsi="黑体" w:eastAsia="黑体" w:cs="黑体"/>
          <w:sz w:val="32"/>
          <w:szCs w:val="32"/>
        </w:rPr>
      </w:pPr>
      <w:bookmarkStart w:id="123" w:name="_Toc7917"/>
      <w:bookmarkStart w:id="124" w:name="_Toc1066"/>
      <w:bookmarkStart w:id="125" w:name="_Toc17508"/>
      <w:r>
        <w:rPr>
          <w:rFonts w:hint="eastAsia" w:ascii="黑体" w:hAnsi="黑体" w:eastAsia="黑体" w:cs="黑体"/>
          <w:sz w:val="32"/>
          <w:szCs w:val="32"/>
        </w:rPr>
        <w:t>八、提高文化和旅游市场综合治理效能</w:t>
      </w:r>
      <w:bookmarkEnd w:id="113"/>
      <w:bookmarkEnd w:id="114"/>
      <w:bookmarkEnd w:id="115"/>
      <w:bookmarkEnd w:id="123"/>
      <w:bookmarkEnd w:id="124"/>
      <w:bookmarkEnd w:id="125"/>
    </w:p>
    <w:p w14:paraId="0E2A9421">
      <w:pPr>
        <w:spacing w:line="560" w:lineRule="exact"/>
        <w:ind w:firstLine="640" w:firstLineChars="200"/>
        <w:outlineLvl w:val="1"/>
        <w:rPr>
          <w:rFonts w:hint="eastAsia" w:ascii="楷体_GB2312" w:hAnsi="楷体_GB2312" w:eastAsia="楷体_GB2312" w:cs="楷体_GB2312"/>
          <w:sz w:val="32"/>
          <w:szCs w:val="32"/>
        </w:rPr>
      </w:pPr>
      <w:bookmarkStart w:id="126" w:name="_Toc30889"/>
      <w:bookmarkStart w:id="127" w:name="_Toc6013"/>
      <w:bookmarkStart w:id="128" w:name="_Toc21474"/>
      <w:bookmarkStart w:id="129" w:name="_Toc14390"/>
      <w:bookmarkStart w:id="130" w:name="_Toc19234"/>
      <w:bookmarkStart w:id="131" w:name="_Toc24807"/>
      <w:bookmarkStart w:id="132" w:name="_Toc18349"/>
      <w:bookmarkStart w:id="133" w:name="_Toc15197"/>
      <w:r>
        <w:rPr>
          <w:rFonts w:hint="eastAsia" w:ascii="楷体_GB2312" w:hAnsi="楷体_GB2312" w:eastAsia="楷体_GB2312" w:cs="楷体_GB2312"/>
          <w:sz w:val="32"/>
          <w:szCs w:val="32"/>
        </w:rPr>
        <w:t>（一）健全文旅行业综合监管机制</w:t>
      </w:r>
    </w:p>
    <w:p w14:paraId="43EAD031">
      <w:pPr>
        <w:spacing w:line="560" w:lineRule="exact"/>
        <w:ind w:firstLine="640" w:firstLineChars="200"/>
        <w:rPr>
          <w:rFonts w:ascii="仿宋_GB2312" w:eastAsia="仿宋_GB2312"/>
          <w:sz w:val="32"/>
          <w:szCs w:val="36"/>
        </w:rPr>
      </w:pPr>
      <w:r>
        <w:rPr>
          <w:rFonts w:hint="eastAsia" w:ascii="仿宋_GB2312" w:eastAsia="仿宋_GB2312"/>
          <w:sz w:val="32"/>
          <w:szCs w:val="36"/>
        </w:rPr>
        <w:t>发挥省级旅游工作协调机制作用，加强跨部门议事会商、信息共享、联合执法，构建党委统一领导、党政齐抓共管、文旅部门主抓、相关部门配合的大旅游工作格局。优化调整文旅安全监管职责，设立河北省文化和旅游经营场所检查员总队，建立省市县三级相贯通的工作体系，加强安全监管和市场检查指导，筑牢文旅行业发展安全底线、提升安全监管水平。全面建立文化和旅游安全生产“三个制度、一个机制”，用好“三书一函”制度，推动安全监管从事后应对转向事前预防、全流程闭环管控。</w:t>
      </w:r>
    </w:p>
    <w:tbl>
      <w:tblPr>
        <w:tblStyle w:val="12"/>
        <w:tblW w:w="8845" w:type="dxa"/>
        <w:tblInd w:w="1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5"/>
      </w:tblGrid>
      <w:tr w14:paraId="2BDF6E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5DE633">
            <w:pPr>
              <w:snapToGrid w:val="0"/>
              <w:spacing w:line="560" w:lineRule="exact"/>
              <w:jc w:val="center"/>
              <w:rPr>
                <w:rFonts w:ascii="仿宋_GB2312" w:eastAsia="仿宋_GB2312" w:cs="仿宋_GB2312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sz w:val="28"/>
                <w:szCs w:val="28"/>
                <w:lang w:bidi="ar"/>
              </w:rPr>
              <w:t>专栏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sz w:val="28"/>
                <w:szCs w:val="28"/>
                <w:lang w:bidi="ar"/>
              </w:rPr>
              <w:t xml:space="preserve">13 </w:t>
            </w:r>
            <w:r>
              <w:rPr>
                <w:rFonts w:hint="eastAsia" w:ascii="仿宋_GB2312" w:hAnsi="Times New Roman" w:eastAsia="仿宋_GB2312" w:cs="仿宋_GB2312"/>
                <w:b/>
                <w:bCs/>
                <w:sz w:val="28"/>
                <w:szCs w:val="28"/>
                <w:lang w:bidi="ar"/>
              </w:rPr>
              <w:t>文化和旅游安全生产“三个制度、一个机制”</w:t>
            </w:r>
          </w:p>
        </w:tc>
      </w:tr>
      <w:tr w14:paraId="04955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2DA746">
            <w:pPr>
              <w:spacing w:line="560" w:lineRule="exact"/>
              <w:ind w:firstLine="442" w:firstLineChars="200"/>
              <w:rPr>
                <w:rFonts w:hint="eastAsia" w:ascii="宋体" w:hAnsi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bidi="ar"/>
              </w:rPr>
              <w:t>企业安全生产管理制度：</w:t>
            </w:r>
            <w:r>
              <w:rPr>
                <w:rFonts w:hint="eastAsia" w:ascii="宋体" w:hAnsi="宋体" w:cs="宋体"/>
                <w:sz w:val="22"/>
                <w:szCs w:val="22"/>
                <w:lang w:bidi="ar"/>
              </w:rPr>
              <w:t>管好企业主要负责人、安全总监和安全员，开展“日管控、周排查、月调度”风险隐患防控，做好《每日安全生产检查记录》《每周安全生产排查治理报告》《每月安全生产调度会议纪要》，夯实企业主体责任。</w:t>
            </w:r>
          </w:p>
          <w:p w14:paraId="7D0D7C73">
            <w:pPr>
              <w:spacing w:line="560" w:lineRule="exact"/>
              <w:ind w:firstLine="442" w:firstLineChars="200"/>
              <w:rPr>
                <w:rFonts w:hint="eastAsia" w:ascii="宋体" w:hAnsi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bidi="ar"/>
              </w:rPr>
              <w:t>安全生产包保制度：</w:t>
            </w:r>
            <w:r>
              <w:rPr>
                <w:rFonts w:hint="eastAsia" w:ascii="宋体" w:hAnsi="宋体" w:cs="宋体"/>
                <w:sz w:val="22"/>
                <w:szCs w:val="22"/>
                <w:lang w:bidi="ar"/>
              </w:rPr>
              <w:t>建立责任清单、任务清单、督查清单以及责任与任务承诺书，推动属地管理责任落地落实。</w:t>
            </w:r>
          </w:p>
          <w:p w14:paraId="6F49E381">
            <w:pPr>
              <w:spacing w:line="560" w:lineRule="exact"/>
              <w:ind w:firstLine="442" w:firstLineChars="200"/>
              <w:rPr>
                <w:rFonts w:hint="eastAsia" w:ascii="宋体" w:hAnsi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bidi="ar"/>
              </w:rPr>
              <w:t>督促落实制度：</w:t>
            </w:r>
            <w:r>
              <w:rPr>
                <w:rFonts w:hint="eastAsia" w:ascii="宋体" w:hAnsi="宋体" w:cs="宋体"/>
                <w:sz w:val="22"/>
                <w:szCs w:val="22"/>
                <w:lang w:bidi="ar"/>
              </w:rPr>
              <w:t>明确《提醒敦促函》《责令整改通知书》《责任约谈通知书》《挂牌督办通知书》适用情形，推动落实“三书一函”制度，压紧压实行业监管责任。</w:t>
            </w:r>
          </w:p>
          <w:p w14:paraId="673C46A2">
            <w:pPr>
              <w:spacing w:line="560" w:lineRule="exact"/>
              <w:ind w:firstLine="442" w:firstLineChars="200"/>
              <w:rPr>
                <w:rFonts w:ascii="Calibri" w:hAnsi="Calibri" w:cs="Times New Roman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bidi="ar"/>
              </w:rPr>
              <w:t>事故应急处置机制：</w:t>
            </w:r>
            <w:r>
              <w:rPr>
                <w:rFonts w:hint="eastAsia" w:ascii="宋体" w:hAnsi="宋体" w:cs="宋体"/>
                <w:sz w:val="22"/>
                <w:szCs w:val="22"/>
                <w:lang w:bidi="ar"/>
              </w:rPr>
              <w:t>落实安全生产事故处置工作程序规范，包含工作启动、临机处置、挂牌督办、实地督查、对外发声、上报进展、公开约谈、结果发布、总结报告、情况通报十个步骤，强化事前预警、事中处置、事后复盘全流程应急管理。</w:t>
            </w:r>
          </w:p>
        </w:tc>
      </w:tr>
    </w:tbl>
    <w:p w14:paraId="255CBF2F">
      <w:pPr>
        <w:spacing w:line="560" w:lineRule="exact"/>
        <w:ind w:firstLine="640" w:firstLineChars="200"/>
        <w:outlineLvl w:val="1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（二）强化文旅行业安全生产技术支撑</w:t>
      </w:r>
    </w:p>
    <w:p w14:paraId="1434DA50">
      <w:pPr>
        <w:spacing w:line="560" w:lineRule="exact"/>
        <w:ind w:firstLine="640" w:firstLineChars="200"/>
        <w:rPr>
          <w:rFonts w:ascii="仿宋_GB2312" w:eastAsia="仿宋_GB2312"/>
          <w:sz w:val="32"/>
          <w:szCs w:val="36"/>
        </w:rPr>
      </w:pPr>
      <w:r>
        <w:rPr>
          <w:rFonts w:hint="eastAsia" w:ascii="仿宋_GB2312" w:eastAsia="仿宋_GB2312"/>
          <w:sz w:val="32"/>
          <w:szCs w:val="36"/>
        </w:rPr>
        <w:t>依托河北省文旅设施设备安全检验检测研究院，加强标准设计研究、智慧监管调度，构建“标准研制—检验检测—风险评估—技术咨询”全链条文旅安全技术支撑体系。</w:t>
      </w:r>
      <w:r>
        <w:rPr>
          <w:rFonts w:ascii="仿宋_GB2312" w:eastAsia="仿宋_GB2312"/>
          <w:sz w:val="32"/>
          <w:szCs w:val="36"/>
        </w:rPr>
        <w:t>落实</w:t>
      </w:r>
      <w:r>
        <w:rPr>
          <w:rFonts w:hint="eastAsia" w:ascii="仿宋_GB2312" w:eastAsia="仿宋_GB2312"/>
          <w:sz w:val="32"/>
          <w:szCs w:val="36"/>
        </w:rPr>
        <w:t>“</w:t>
      </w:r>
      <w:r>
        <w:rPr>
          <w:rFonts w:ascii="仿宋_GB2312" w:eastAsia="仿宋_GB2312"/>
          <w:sz w:val="32"/>
          <w:szCs w:val="36"/>
        </w:rPr>
        <w:t>三管三必须</w:t>
      </w:r>
      <w:r>
        <w:rPr>
          <w:rFonts w:hint="eastAsia" w:ascii="仿宋_GB2312" w:eastAsia="仿宋_GB2312"/>
          <w:sz w:val="32"/>
          <w:szCs w:val="36"/>
        </w:rPr>
        <w:t>”要求，有序开展非标游乐设施检测技术标准、规范规程、检测方法的研制，出台一批地方标准及行业标准。持续跟踪新业态和产业发展，完善服务规范、运营管理和质量评价体系，全面建立“一库一码一系统”机制。加强标准宣贯实施和监督评估，强化技术指导培训。</w:t>
      </w:r>
    </w:p>
    <w:tbl>
      <w:tblPr>
        <w:tblStyle w:val="12"/>
        <w:tblW w:w="8745" w:type="dxa"/>
        <w:tblInd w:w="1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45"/>
      </w:tblGrid>
      <w:tr w14:paraId="2F4AC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E61594">
            <w:pPr>
              <w:snapToGrid w:val="0"/>
              <w:spacing w:line="560" w:lineRule="exact"/>
              <w:jc w:val="center"/>
              <w:rPr>
                <w:rFonts w:ascii="仿宋_GB2312" w:eastAsia="仿宋_GB2312" w:cs="仿宋_GB2312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sz w:val="28"/>
                <w:szCs w:val="28"/>
                <w:lang w:bidi="ar"/>
              </w:rPr>
              <w:t>专栏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sz w:val="28"/>
                <w:szCs w:val="28"/>
                <w:lang w:bidi="ar"/>
              </w:rPr>
              <w:t>14 “一库一码一系统”机制</w:t>
            </w:r>
          </w:p>
        </w:tc>
      </w:tr>
      <w:tr w14:paraId="5BD61E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C470A6">
            <w:pPr>
              <w:spacing w:line="560" w:lineRule="exact"/>
              <w:ind w:firstLine="442" w:firstLineChars="200"/>
              <w:rPr>
                <w:rFonts w:hint="eastAsia" w:ascii="宋体" w:hAnsi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bidi="ar"/>
              </w:rPr>
              <w:t>全省非标文旅设施设备生产企业和使用企业主体信息库：</w:t>
            </w:r>
            <w:r>
              <w:rPr>
                <w:rFonts w:hint="eastAsia" w:ascii="宋体" w:hAnsi="宋体" w:cs="宋体"/>
                <w:sz w:val="22"/>
                <w:szCs w:val="22"/>
                <w:lang w:bidi="ar"/>
              </w:rPr>
              <w:t>建立设施设备档案，实行动态更新、精细管理。</w:t>
            </w:r>
          </w:p>
          <w:p w14:paraId="1946C0C6">
            <w:pPr>
              <w:spacing w:line="560" w:lineRule="exact"/>
              <w:ind w:firstLine="442" w:firstLineChars="200"/>
              <w:rPr>
                <w:rFonts w:hint="eastAsia" w:ascii="宋体" w:hAnsi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bidi="ar"/>
              </w:rPr>
              <w:t>全省涉文旅非标设施设备赋二维码：</w:t>
            </w:r>
            <w:r>
              <w:rPr>
                <w:rFonts w:hint="eastAsia" w:ascii="宋体" w:hAnsi="宋体" w:cs="宋体"/>
                <w:sz w:val="22"/>
                <w:szCs w:val="22"/>
                <w:lang w:bidi="ar"/>
              </w:rPr>
              <w:t>关联使用登记、检验维保、公众查询和应急救援，落实使用单位每日扫码点检和隐患闭环处置。</w:t>
            </w:r>
          </w:p>
          <w:p w14:paraId="23B3DAA9">
            <w:pPr>
              <w:spacing w:line="560" w:lineRule="exact"/>
              <w:ind w:firstLine="442" w:firstLineChars="200"/>
              <w:rPr>
                <w:rFonts w:ascii="Calibri" w:hAnsi="Calibri" w:cs="Times New Roman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bidi="ar"/>
              </w:rPr>
              <w:t>全省文旅设施设备智慧监管系统：</w:t>
            </w:r>
            <w:r>
              <w:rPr>
                <w:rFonts w:hint="eastAsia" w:ascii="宋体" w:hAnsi="宋体" w:cs="宋体"/>
                <w:sz w:val="22"/>
                <w:szCs w:val="22"/>
                <w:lang w:bidi="ar"/>
              </w:rPr>
              <w:t>建立全省文旅设施设备智慧监管平台，实现设施设备状态实时监测、风险隐患智能研判、预警信息自动推送、处置任务在线流转、整改结果闭环复核，与“一库一码”互联互通，完成“监测—预警—派单—处置—反馈—复核”全链条智慧监管。</w:t>
            </w:r>
          </w:p>
        </w:tc>
      </w:tr>
    </w:tbl>
    <w:p w14:paraId="0FC0E33E">
      <w:pPr>
        <w:spacing w:line="560" w:lineRule="exact"/>
        <w:ind w:firstLine="640" w:firstLineChars="200"/>
        <w:outlineLvl w:val="1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（三）加强文旅市场安全管理</w:t>
      </w:r>
    </w:p>
    <w:p w14:paraId="4A3F8D2E">
      <w:pPr>
        <w:spacing w:line="56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仿宋_GB2312" w:eastAsia="仿宋_GB2312"/>
          <w:sz w:val="32"/>
          <w:szCs w:val="36"/>
        </w:rPr>
        <w:t>严格落实意识形态工作责任制和网络意识形态工作责任制，制定实施舆情处置工作规定，用好省级文旅舆情监测处置平台，推动实现舆情“预警、整改、警示、督办”闭环处置。落实信息发布“三审三校”制度，加强营业性演出、网络文化等重点领域内容审核。联合公安、交通、消防、市场监管等部门，深入开展风险隐患常态化排查整治。</w:t>
      </w:r>
      <w:r>
        <w:rPr>
          <w:rFonts w:ascii="仿宋_GB2312" w:eastAsia="仿宋_GB2312"/>
          <w:sz w:val="32"/>
          <w:szCs w:val="36"/>
        </w:rPr>
        <w:t>广泛开展安全宣教</w:t>
      </w:r>
      <w:r>
        <w:rPr>
          <w:rFonts w:hint="eastAsia" w:ascii="仿宋_GB2312" w:eastAsia="仿宋_GB2312"/>
          <w:sz w:val="32"/>
          <w:szCs w:val="36"/>
        </w:rPr>
        <w:t>、</w:t>
      </w:r>
      <w:r>
        <w:rPr>
          <w:rFonts w:ascii="仿宋_GB2312" w:eastAsia="仿宋_GB2312"/>
          <w:sz w:val="32"/>
          <w:szCs w:val="36"/>
        </w:rPr>
        <w:t>专题培训与实战演练</w:t>
      </w:r>
      <w:r>
        <w:rPr>
          <w:rFonts w:hint="eastAsia" w:ascii="仿宋_GB2312" w:eastAsia="仿宋_GB2312"/>
          <w:sz w:val="32"/>
          <w:szCs w:val="36"/>
        </w:rPr>
        <w:t>，夯实安全生产基层基础。</w:t>
      </w:r>
    </w:p>
    <w:p w14:paraId="4CD5670B">
      <w:pPr>
        <w:spacing w:line="560" w:lineRule="exact"/>
        <w:ind w:firstLine="640" w:firstLineChars="200"/>
        <w:outlineLvl w:val="1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（四）规范文旅市场秩序</w:t>
      </w:r>
    </w:p>
    <w:p w14:paraId="6A10D56D">
      <w:pPr>
        <w:widowControl/>
        <w:spacing w:line="560" w:lineRule="exact"/>
        <w:ind w:firstLine="640" w:firstLineChars="200"/>
        <w:rPr>
          <w:rFonts w:ascii="仿宋_GB2312" w:eastAsia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开展旅游景区、旅游市场综合整治，深化旅游行业导游乱象、强制消费等问题专项整治。文旅、公安、市场监管等部门，</w:t>
      </w:r>
      <w:r>
        <w:rPr>
          <w:rFonts w:hint="eastAsia" w:ascii="仿宋_GB2312" w:eastAsia="仿宋_GB2312"/>
          <w:sz w:val="32"/>
          <w:szCs w:val="36"/>
        </w:rPr>
        <w:t>聚焦重点领域与问题多发时段，加强综合督导和暗访检查，督促问题整改落实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加大文化市场综合执法力度，规范线上线下演出市场管理。坚持包容审慎监管，探索优化对新业态、新模式的监管举措。加强文化和旅游行业信用体系建设。</w:t>
      </w:r>
      <w:r>
        <w:rPr>
          <w:rFonts w:hint="eastAsia" w:ascii="仿宋_GB2312" w:eastAsia="仿宋_GB2312"/>
          <w:sz w:val="32"/>
          <w:szCs w:val="36"/>
        </w:rPr>
        <w:t>深化文旅行政执法体制改革，动态调整执法事项指导目录。</w:t>
      </w:r>
      <w:r>
        <w:rPr>
          <w:rFonts w:hint="eastAsia" w:ascii="仿宋_GB2312" w:hAnsi="仿宋_GB2312" w:eastAsia="仿宋_GB2312" w:cs="仿宋_GB2312"/>
          <w:sz w:val="32"/>
          <w:szCs w:val="32"/>
        </w:rPr>
        <w:t>深化“旅游投诉即办必办”闭环处置模式，推行重要投诉文旅局长领办制，联动景区消费维权服务站、警务站就地化解纠纷，不断提高游客满意度。</w:t>
      </w:r>
    </w:p>
    <w:p w14:paraId="3FEAACC9">
      <w:pPr>
        <w:spacing w:line="560" w:lineRule="exact"/>
        <w:ind w:firstLine="640" w:firstLineChars="200"/>
        <w:jc w:val="left"/>
        <w:outlineLvl w:val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九、加强规划实施保障</w:t>
      </w:r>
    </w:p>
    <w:p w14:paraId="2D3FCBF8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坚持党对文化和旅游工作的全面领导，加强统筹协调、协同推进，推动各项任务落地落实。省文化和旅游厅做好规划实施年度监测、中期评估、总结评估，跟踪督促规划任务落实到位。落实积极的文化经济政策，完善多元化投入机制。落实支持文化和旅游发展用地政策。加强法治政府建设，完善文化和旅游领域法规体系。完善文化和旅游人才选拔、培养、使用、激励机制，建设高素质专业化文化和旅游人才队伍。</w:t>
      </w:r>
    </w:p>
    <w:bookmarkEnd w:id="126"/>
    <w:bookmarkEnd w:id="127"/>
    <w:bookmarkEnd w:id="128"/>
    <w:bookmarkEnd w:id="129"/>
    <w:bookmarkEnd w:id="130"/>
    <w:bookmarkEnd w:id="131"/>
    <w:bookmarkEnd w:id="132"/>
    <w:bookmarkEnd w:id="133"/>
    <w:p w14:paraId="62DC2ED1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106FC885">
      <w:pPr>
        <w:spacing w:line="560" w:lineRule="exact"/>
        <w:ind w:firstLine="1490" w:firstLineChars="500"/>
        <w:rPr>
          <w:rFonts w:hint="eastAsia" w:ascii="仿宋_GB2312" w:hAnsi="仿宋_GB2312" w:eastAsia="仿宋_GB2312" w:cs="仿宋_GB2312"/>
          <w:color w:val="000000" w:themeColor="text1"/>
          <w:spacing w:val="-1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15A7318D">
      <w:pPr>
        <w:pStyle w:val="3"/>
        <w:ind w:firstLine="596"/>
        <w:rPr>
          <w:rFonts w:hint="eastAsia" w:ascii="仿宋_GB2312" w:hAnsi="仿宋_GB2312" w:cs="仿宋_GB2312"/>
          <w:color w:val="000000" w:themeColor="text1"/>
          <w:spacing w:val="-11"/>
          <w:szCs w:val="32"/>
          <w14:textFill>
            <w14:solidFill>
              <w14:schemeClr w14:val="tx1"/>
            </w14:solidFill>
          </w14:textFill>
        </w:rPr>
      </w:pPr>
    </w:p>
    <w:p w14:paraId="750501A1">
      <w:pPr>
        <w:pStyle w:val="3"/>
        <w:ind w:firstLine="596"/>
        <w:rPr>
          <w:rFonts w:hint="eastAsia" w:ascii="仿宋_GB2312" w:hAnsi="仿宋_GB2312" w:cs="仿宋_GB2312"/>
          <w:color w:val="000000" w:themeColor="text1"/>
          <w:spacing w:val="-11"/>
          <w:szCs w:val="32"/>
          <w14:textFill>
            <w14:solidFill>
              <w14:schemeClr w14:val="tx1"/>
            </w14:solidFill>
          </w14:textFill>
        </w:rPr>
      </w:pPr>
    </w:p>
    <w:p w14:paraId="215188C7">
      <w:pPr>
        <w:pStyle w:val="3"/>
        <w:ind w:firstLine="596"/>
        <w:rPr>
          <w:rFonts w:hint="eastAsia" w:ascii="仿宋_GB2312" w:hAnsi="仿宋_GB2312" w:cs="仿宋_GB2312"/>
          <w:color w:val="000000" w:themeColor="text1"/>
          <w:spacing w:val="-11"/>
          <w:szCs w:val="32"/>
          <w14:textFill>
            <w14:solidFill>
              <w14:schemeClr w14:val="tx1"/>
            </w14:solidFill>
          </w14:textFill>
        </w:rPr>
      </w:pPr>
    </w:p>
    <w:p w14:paraId="742CF0B0">
      <w:pPr>
        <w:pStyle w:val="3"/>
        <w:ind w:firstLine="596"/>
        <w:rPr>
          <w:rFonts w:hint="eastAsia" w:ascii="仿宋_GB2312" w:hAnsi="仿宋_GB2312" w:cs="仿宋_GB2312"/>
          <w:color w:val="000000" w:themeColor="text1"/>
          <w:spacing w:val="-11"/>
          <w:szCs w:val="32"/>
          <w14:textFill>
            <w14:solidFill>
              <w14:schemeClr w14:val="tx1"/>
            </w14:solidFill>
          </w14:textFill>
        </w:rPr>
      </w:pPr>
    </w:p>
    <w:p w14:paraId="776A02DA">
      <w:pPr>
        <w:pStyle w:val="3"/>
        <w:ind w:firstLine="596"/>
        <w:rPr>
          <w:rFonts w:ascii="仿宋_GB2312" w:hAnsi="仿宋_GB2312" w:cs="仿宋_GB2312"/>
          <w:color w:val="000000" w:themeColor="text1"/>
          <w:spacing w:val="-11"/>
          <w:szCs w:val="32"/>
          <w14:textFill>
            <w14:solidFill>
              <w14:schemeClr w14:val="tx1"/>
            </w14:solidFill>
          </w14:textFill>
        </w:rPr>
      </w:pPr>
    </w:p>
    <w:p w14:paraId="5E55FC0A">
      <w:pPr>
        <w:pStyle w:val="3"/>
        <w:ind w:firstLine="596"/>
        <w:rPr>
          <w:rFonts w:hint="eastAsia" w:ascii="仿宋_GB2312" w:hAnsi="仿宋_GB2312" w:cs="仿宋_GB2312"/>
          <w:color w:val="000000" w:themeColor="text1"/>
          <w:spacing w:val="-11"/>
          <w:szCs w:val="32"/>
          <w14:textFill>
            <w14:solidFill>
              <w14:schemeClr w14:val="tx1"/>
            </w14:solidFill>
          </w14:textFill>
        </w:rPr>
      </w:pPr>
    </w:p>
    <w:p w14:paraId="1905A556">
      <w:pPr>
        <w:pStyle w:val="3"/>
        <w:ind w:left="0" w:leftChars="0" w:firstLine="0" w:firstLineChars="0"/>
        <w:rPr>
          <w:rFonts w:hint="eastAsia" w:ascii="仿宋_GB2312" w:hAnsi="仿宋_GB2312" w:cs="仿宋_GB2312"/>
          <w:color w:val="000000" w:themeColor="text1"/>
          <w:spacing w:val="-11"/>
          <w:szCs w:val="32"/>
          <w14:textFill>
            <w14:solidFill>
              <w14:schemeClr w14:val="tx1"/>
            </w14:solidFill>
          </w14:textFill>
        </w:rPr>
      </w:pPr>
      <w:bookmarkStart w:id="134" w:name="_GoBack"/>
      <w:bookmarkEnd w:id="134"/>
    </w:p>
    <w:sectPr>
      <w:headerReference r:id="rId3" w:type="default"/>
      <w:footerReference r:id="rId4" w:type="default"/>
      <w:pgSz w:w="11906" w:h="16838"/>
      <w:pgMar w:top="1814" w:right="1531" w:bottom="1531" w:left="1531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E21E287-53BC-4486-8641-70982C210EF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5C5ECA24-B634-496F-8F07-84FBEBF4150A}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E4BC7107-5C82-4510-A528-29624ACF7E84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1B9851F6-0AF8-49D3-8E65-98376464C6D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98BB89C4-2C57-4800-AEB9-02C84572B9BD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6" w:fontKey="{9D14DB53-455B-481B-93B5-2705983867D4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7" w:fontKey="{3C86DA73-71FA-4FA4-9A9B-31D7689F48F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899036057"/>
    </w:sdtPr>
    <w:sdtEndPr>
      <w:rPr>
        <w:rFonts w:hint="default" w:ascii="Times New Roman" w:hAnsi="Times New Roman" w:cs="Times New Roman" w:eastAsiaTheme="minorEastAsia"/>
        <w:sz w:val="21"/>
        <w:szCs w:val="21"/>
      </w:rPr>
    </w:sdtEndPr>
    <w:sdtContent>
      <w:p w14:paraId="0D8FB4A1">
        <w:pPr>
          <w:pStyle w:val="6"/>
          <w:jc w:val="center"/>
        </w:pPr>
        <w:r>
          <w:rPr>
            <w:rFonts w:hint="default" w:ascii="Times New Roman" w:hAnsi="Times New Roman" w:cs="Times New Roman" w:eastAsiaTheme="minorEastAsia"/>
            <w:sz w:val="21"/>
            <w:szCs w:val="21"/>
          </w:rPr>
          <w:fldChar w:fldCharType="begin"/>
        </w:r>
        <w:r>
          <w:rPr>
            <w:rFonts w:hint="default" w:ascii="Times New Roman" w:hAnsi="Times New Roman" w:cs="Times New Roman" w:eastAsiaTheme="minorEastAsia"/>
            <w:sz w:val="21"/>
            <w:szCs w:val="21"/>
          </w:rPr>
          <w:instrText xml:space="preserve">PAGE   \* MERGEFORMAT</w:instrText>
        </w:r>
        <w:r>
          <w:rPr>
            <w:rFonts w:hint="default" w:ascii="Times New Roman" w:hAnsi="Times New Roman" w:cs="Times New Roman" w:eastAsiaTheme="minorEastAsia"/>
            <w:sz w:val="21"/>
            <w:szCs w:val="21"/>
          </w:rPr>
          <w:fldChar w:fldCharType="separate"/>
        </w:r>
        <w:r>
          <w:rPr>
            <w:rFonts w:hint="default" w:ascii="Times New Roman" w:hAnsi="Times New Roman" w:cs="Times New Roman" w:eastAsiaTheme="minorEastAsia"/>
            <w:sz w:val="21"/>
            <w:szCs w:val="21"/>
            <w:lang w:val="zh-CN"/>
          </w:rPr>
          <w:t>2</w:t>
        </w:r>
        <w:r>
          <w:rPr>
            <w:rFonts w:hint="default" w:ascii="Times New Roman" w:hAnsi="Times New Roman" w:cs="Times New Roman" w:eastAsiaTheme="minorEastAsia"/>
            <w:sz w:val="21"/>
            <w:szCs w:val="21"/>
          </w:rPr>
          <w:fldChar w:fldCharType="end"/>
        </w:r>
      </w:p>
    </w:sdtContent>
  </w:sdt>
  <w:p w14:paraId="7CF2FB60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BCC583">
    <w:pPr>
      <w:pStyle w:val="7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CF195B"/>
    <w:rsid w:val="00045D48"/>
    <w:rsid w:val="000B1212"/>
    <w:rsid w:val="00141ADB"/>
    <w:rsid w:val="001570B1"/>
    <w:rsid w:val="001C3E96"/>
    <w:rsid w:val="00274A80"/>
    <w:rsid w:val="002F3C99"/>
    <w:rsid w:val="00303191"/>
    <w:rsid w:val="003E2C01"/>
    <w:rsid w:val="00507C4F"/>
    <w:rsid w:val="00522C46"/>
    <w:rsid w:val="0054747A"/>
    <w:rsid w:val="00571BC4"/>
    <w:rsid w:val="00671410"/>
    <w:rsid w:val="006E026E"/>
    <w:rsid w:val="006F45C1"/>
    <w:rsid w:val="00761F54"/>
    <w:rsid w:val="007D4B04"/>
    <w:rsid w:val="008566F4"/>
    <w:rsid w:val="008C57EC"/>
    <w:rsid w:val="00A3352F"/>
    <w:rsid w:val="00A711FE"/>
    <w:rsid w:val="00AB45DF"/>
    <w:rsid w:val="00B1191A"/>
    <w:rsid w:val="00BB50E0"/>
    <w:rsid w:val="00BD295D"/>
    <w:rsid w:val="00BD2B7F"/>
    <w:rsid w:val="00BE307B"/>
    <w:rsid w:val="00C65672"/>
    <w:rsid w:val="00C866AE"/>
    <w:rsid w:val="00C93FE9"/>
    <w:rsid w:val="00CB44BC"/>
    <w:rsid w:val="00D43177"/>
    <w:rsid w:val="00E12FE9"/>
    <w:rsid w:val="00E34A6D"/>
    <w:rsid w:val="00E93F6D"/>
    <w:rsid w:val="00EB3F0C"/>
    <w:rsid w:val="00ED128F"/>
    <w:rsid w:val="00F174FF"/>
    <w:rsid w:val="00F80C82"/>
    <w:rsid w:val="03CF195B"/>
    <w:rsid w:val="0507706B"/>
    <w:rsid w:val="0786637B"/>
    <w:rsid w:val="0D457847"/>
    <w:rsid w:val="0E363E5B"/>
    <w:rsid w:val="0E6A688F"/>
    <w:rsid w:val="0EAC6E81"/>
    <w:rsid w:val="0ECE5FE3"/>
    <w:rsid w:val="1DFF64B2"/>
    <w:rsid w:val="1FA24B72"/>
    <w:rsid w:val="1FBD3E60"/>
    <w:rsid w:val="2042478C"/>
    <w:rsid w:val="208B47E0"/>
    <w:rsid w:val="215B3CA5"/>
    <w:rsid w:val="21BBFF4F"/>
    <w:rsid w:val="222649CA"/>
    <w:rsid w:val="22F07ED8"/>
    <w:rsid w:val="23DF1CD2"/>
    <w:rsid w:val="24526721"/>
    <w:rsid w:val="2B2F673B"/>
    <w:rsid w:val="2EA55251"/>
    <w:rsid w:val="2FB37226"/>
    <w:rsid w:val="36CF2779"/>
    <w:rsid w:val="3A115F36"/>
    <w:rsid w:val="3A8E0931"/>
    <w:rsid w:val="43235175"/>
    <w:rsid w:val="443A71AC"/>
    <w:rsid w:val="45CB67C3"/>
    <w:rsid w:val="4760572D"/>
    <w:rsid w:val="49C17522"/>
    <w:rsid w:val="4C380D16"/>
    <w:rsid w:val="4D0F11BF"/>
    <w:rsid w:val="4FD729DD"/>
    <w:rsid w:val="50304F9B"/>
    <w:rsid w:val="51874608"/>
    <w:rsid w:val="519F0C7F"/>
    <w:rsid w:val="524F337E"/>
    <w:rsid w:val="52CF5C65"/>
    <w:rsid w:val="549859BF"/>
    <w:rsid w:val="554322A0"/>
    <w:rsid w:val="55824921"/>
    <w:rsid w:val="59683BC6"/>
    <w:rsid w:val="59CE7C0D"/>
    <w:rsid w:val="5A853CE9"/>
    <w:rsid w:val="5C833238"/>
    <w:rsid w:val="618B52CF"/>
    <w:rsid w:val="63217E4F"/>
    <w:rsid w:val="634618F9"/>
    <w:rsid w:val="640E2694"/>
    <w:rsid w:val="65447E0B"/>
    <w:rsid w:val="67CC5D59"/>
    <w:rsid w:val="68161D39"/>
    <w:rsid w:val="69675B47"/>
    <w:rsid w:val="725E2C4B"/>
    <w:rsid w:val="730352E8"/>
    <w:rsid w:val="750359EA"/>
    <w:rsid w:val="7B2E20E5"/>
    <w:rsid w:val="7BFFE60F"/>
    <w:rsid w:val="7D253B55"/>
    <w:rsid w:val="B746A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Cs w:val="32"/>
    </w:rPr>
  </w:style>
  <w:style w:type="character" w:default="1" w:styleId="13">
    <w:name w:val="Default Paragraph Font"/>
    <w:unhideWhenUsed/>
    <w:uiPriority w:val="1"/>
  </w:style>
  <w:style w:type="table" w:default="1" w:styleId="11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  <w:rPr>
      <w:rFonts w:eastAsia="仿宋_GB2312"/>
      <w:sz w:val="32"/>
    </w:rPr>
  </w:style>
  <w:style w:type="paragraph" w:styleId="4">
    <w:name w:val="Body Text Indent"/>
    <w:basedOn w:val="1"/>
    <w:qFormat/>
    <w:uiPriority w:val="99"/>
    <w:pPr>
      <w:ind w:left="420" w:leftChars="200"/>
    </w:pPr>
  </w:style>
  <w:style w:type="paragraph" w:styleId="5">
    <w:name w:val="Body Text Indent 2"/>
    <w:basedOn w:val="1"/>
    <w:unhideWhenUsed/>
    <w:qFormat/>
    <w:uiPriority w:val="99"/>
    <w:pPr>
      <w:spacing w:after="120" w:line="480" w:lineRule="auto"/>
      <w:ind w:left="420" w:leftChars="200"/>
    </w:pPr>
  </w:style>
  <w:style w:type="paragraph" w:styleId="6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Autospacing="1" w:afterAutospacing="1"/>
      <w:ind w:firstLine="420"/>
      <w:jc w:val="left"/>
    </w:pPr>
    <w:rPr>
      <w:rFonts w:cs="Times New Roman"/>
      <w:kern w:val="0"/>
      <w:sz w:val="24"/>
    </w:rPr>
  </w:style>
  <w:style w:type="paragraph" w:styleId="9">
    <w:name w:val="Title"/>
    <w:basedOn w:val="1"/>
    <w:next w:val="1"/>
    <w:qFormat/>
    <w:uiPriority w:val="10"/>
    <w:pPr>
      <w:spacing w:before="120" w:after="120"/>
      <w:jc w:val="center"/>
      <w:outlineLvl w:val="0"/>
    </w:pPr>
    <w:rPr>
      <w:rFonts w:eastAsia="华文中宋" w:asciiTheme="majorHAnsi" w:hAnsiTheme="majorHAnsi" w:cstheme="majorBidi"/>
      <w:b/>
      <w:bCs/>
      <w:sz w:val="36"/>
      <w:szCs w:val="32"/>
    </w:rPr>
  </w:style>
  <w:style w:type="paragraph" w:styleId="10">
    <w:name w:val="Body Text First Indent 2"/>
    <w:basedOn w:val="4"/>
    <w:qFormat/>
    <w:uiPriority w:val="99"/>
    <w:pPr>
      <w:ind w:left="0" w:leftChars="0" w:firstLine="420" w:firstLineChars="200"/>
    </w:p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">
    <w:name w:val="页眉 字符"/>
    <w:basedOn w:val="13"/>
    <w:link w:val="7"/>
    <w:qFormat/>
    <w:uiPriority w:val="0"/>
    <w:rPr>
      <w:kern w:val="2"/>
      <w:sz w:val="18"/>
      <w:szCs w:val="18"/>
    </w:rPr>
  </w:style>
  <w:style w:type="character" w:customStyle="1" w:styleId="15">
    <w:name w:val="页脚 字符"/>
    <w:basedOn w:val="13"/>
    <w:link w:val="6"/>
    <w:qFormat/>
    <w:uiPriority w:val="99"/>
    <w:rPr>
      <w:kern w:val="2"/>
      <w:sz w:val="18"/>
      <w:szCs w:val="18"/>
    </w:rPr>
  </w:style>
  <w:style w:type="table" w:customStyle="1" w:styleId="16">
    <w:name w:val="网格型2"/>
    <w:basedOn w:val="11"/>
    <w:qFormat/>
    <w:uiPriority w:val="99"/>
    <w:pPr>
      <w:widowControl w:val="0"/>
      <w:jc w:val="both"/>
    </w:pPr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">
    <w:name w:val="网格型1"/>
    <w:basedOn w:val="11"/>
    <w:qFormat/>
    <w:uiPriority w:val="99"/>
    <w:pPr>
      <w:widowControl w:val="0"/>
      <w:jc w:val="both"/>
    </w:pPr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">
    <w:name w:val="网格型3"/>
    <w:basedOn w:val="11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18</Pages>
  <Words>710</Words>
  <Characters>719</Characters>
  <Lines>126</Lines>
  <Paragraphs>35</Paragraphs>
  <TotalTime>32</TotalTime>
  <ScaleCrop>false</ScaleCrop>
  <LinksUpToDate>false</LinksUpToDate>
  <CharactersWithSpaces>723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2021-06-17T11:41:00Z</dcterms:created>
  <dc:creator>也无风雨也无晴（王松）</dc:creator>
  <cp:lastModifiedBy>好人</cp:lastModifiedBy>
  <cp:lastPrinted>2021-07-21T08:53:00Z</cp:lastPrinted>
  <dcterms:modified xsi:type="dcterms:W3CDTF">2026-09-30T07:26:58Z</dcterms:modified>
  <dc:title>中共河北省文化和旅游厅党组会议文件（2026年第24次）</dc:title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9B17DF9F90D44ED0BB0C40999088A5A7_13</vt:lpwstr>
  </property>
  <property fmtid="{D5CDD505-2E9C-101B-9397-08002B2CF9AE}" pid="4" name="KSOTemplateDocerSaveRecord">
    <vt:lpwstr>eyJoZGlkIjoiYWYwMGQ2N2ZiYmJkY2E2MGJkNmEyMjQxMjVmYzgzNTUiLCJ1c2VySWQiOiI1NDYxMjQ0MTAifQ==</vt:lpwstr>
  </property>
</Properties>
</file>