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6D581E">
      <w:pPr>
        <w:pStyle w:val="3"/>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14:paraId="0384A752">
      <w:pPr>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服务需求</w:t>
      </w:r>
    </w:p>
    <w:tbl>
      <w:tblPr>
        <w:tblStyle w:val="5"/>
        <w:tblW w:w="52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1207"/>
        <w:gridCol w:w="1262"/>
        <w:gridCol w:w="5245"/>
        <w:gridCol w:w="1213"/>
      </w:tblGrid>
      <w:tr w14:paraId="1E319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281" w:type="pct"/>
            <w:vMerge w:val="restart"/>
            <w:noWrap w:val="0"/>
            <w:vAlign w:val="center"/>
          </w:tcPr>
          <w:p w14:paraId="0B798EB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序号</w:t>
            </w:r>
          </w:p>
        </w:tc>
        <w:tc>
          <w:tcPr>
            <w:tcW w:w="638" w:type="pct"/>
            <w:vMerge w:val="restart"/>
            <w:noWrap w:val="0"/>
            <w:vAlign w:val="center"/>
          </w:tcPr>
          <w:p w14:paraId="294B011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模块</w:t>
            </w:r>
          </w:p>
          <w:p w14:paraId="5F9091C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名称</w:t>
            </w:r>
          </w:p>
        </w:tc>
        <w:tc>
          <w:tcPr>
            <w:tcW w:w="667" w:type="pct"/>
            <w:vMerge w:val="restart"/>
            <w:noWrap w:val="0"/>
            <w:vAlign w:val="center"/>
          </w:tcPr>
          <w:p w14:paraId="33A2E3C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分项</w:t>
            </w:r>
          </w:p>
          <w:p w14:paraId="1A0FF6F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内容</w:t>
            </w:r>
          </w:p>
        </w:tc>
        <w:tc>
          <w:tcPr>
            <w:tcW w:w="2772" w:type="pct"/>
            <w:vMerge w:val="restart"/>
            <w:noWrap w:val="0"/>
            <w:vAlign w:val="center"/>
          </w:tcPr>
          <w:p w14:paraId="2444244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服务内容说明</w:t>
            </w:r>
          </w:p>
        </w:tc>
        <w:tc>
          <w:tcPr>
            <w:tcW w:w="641" w:type="pct"/>
            <w:vMerge w:val="restart"/>
            <w:noWrap w:val="0"/>
            <w:vAlign w:val="center"/>
          </w:tcPr>
          <w:p w14:paraId="3E7E2C4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报价</w:t>
            </w:r>
          </w:p>
          <w:p w14:paraId="257D351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（万元）</w:t>
            </w:r>
          </w:p>
        </w:tc>
      </w:tr>
      <w:tr w14:paraId="4272B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81" w:type="pct"/>
            <w:vMerge w:val="continue"/>
            <w:noWrap w:val="0"/>
            <w:vAlign w:val="center"/>
          </w:tcPr>
          <w:p w14:paraId="7BBFDCC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4D2FA06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vMerge w:val="continue"/>
            <w:noWrap w:val="0"/>
            <w:vAlign w:val="center"/>
          </w:tcPr>
          <w:p w14:paraId="54A84A9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2772" w:type="pct"/>
            <w:vMerge w:val="continue"/>
            <w:noWrap w:val="0"/>
            <w:vAlign w:val="center"/>
          </w:tcPr>
          <w:p w14:paraId="60B8B2F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41" w:type="pct"/>
            <w:vMerge w:val="continue"/>
            <w:noWrap w:val="0"/>
            <w:vAlign w:val="center"/>
          </w:tcPr>
          <w:p w14:paraId="7BC97A6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r>
      <w:tr w14:paraId="32FF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restart"/>
            <w:noWrap w:val="0"/>
            <w:vAlign w:val="center"/>
          </w:tcPr>
          <w:p w14:paraId="06CDE89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r>
              <w:rPr>
                <w:rFonts w:hint="eastAsia" w:ascii="宋体" w:hAnsi="宋体" w:cs="宋体"/>
                <w:b/>
                <w:bCs/>
                <w:color w:val="000000"/>
                <w:kern w:val="0"/>
                <w:sz w:val="24"/>
                <w:szCs w:val="24"/>
              </w:rPr>
              <w:t>一</w:t>
            </w:r>
          </w:p>
        </w:tc>
        <w:tc>
          <w:tcPr>
            <w:tcW w:w="638" w:type="pct"/>
            <w:vMerge w:val="restart"/>
            <w:noWrap w:val="0"/>
            <w:vAlign w:val="center"/>
          </w:tcPr>
          <w:p w14:paraId="75FBE12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平台</w:t>
            </w:r>
          </w:p>
          <w:p w14:paraId="6946BEA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lang w:val="en-US" w:eastAsia="zh-CN"/>
              </w:rPr>
              <w:t>公共</w:t>
            </w:r>
            <w:r>
              <w:rPr>
                <w:rFonts w:hint="eastAsia" w:ascii="宋体" w:hAnsi="宋体" w:cs="宋体"/>
                <w:b/>
                <w:bCs/>
                <w:color w:val="000000"/>
                <w:kern w:val="0"/>
                <w:sz w:val="24"/>
                <w:szCs w:val="24"/>
              </w:rPr>
              <w:t>服务</w:t>
            </w:r>
          </w:p>
        </w:tc>
        <w:tc>
          <w:tcPr>
            <w:tcW w:w="667" w:type="pct"/>
            <w:noWrap w:val="0"/>
            <w:vAlign w:val="center"/>
          </w:tcPr>
          <w:p w14:paraId="296E5A8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kern w:val="0"/>
                <w:sz w:val="24"/>
                <w:szCs w:val="24"/>
              </w:rPr>
            </w:pPr>
            <w:r>
              <w:rPr>
                <w:rFonts w:hint="eastAsia" w:ascii="宋体" w:hAnsi="宋体" w:cs="宋体"/>
                <w:kern w:val="0"/>
                <w:sz w:val="24"/>
                <w:szCs w:val="24"/>
              </w:rPr>
              <w:t>平台版面服务</w:t>
            </w:r>
          </w:p>
        </w:tc>
        <w:tc>
          <w:tcPr>
            <w:tcW w:w="2772" w:type="pct"/>
            <w:noWrap w:val="0"/>
            <w:vAlign w:val="center"/>
          </w:tcPr>
          <w:p w14:paraId="395198F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kern w:val="0"/>
                <w:sz w:val="24"/>
                <w:szCs w:val="24"/>
              </w:rPr>
            </w:pPr>
            <w:r>
              <w:rPr>
                <w:rFonts w:hint="eastAsia" w:ascii="宋体" w:hAnsi="宋体" w:cs="宋体"/>
                <w:kern w:val="0"/>
                <w:sz w:val="24"/>
                <w:szCs w:val="24"/>
              </w:rPr>
              <w:t>充分融合服务与营销的能力，扩展平台营销能力和平台活力，对首页版面进行改版优化，提供首页皮肤的元素改版服务。</w:t>
            </w:r>
          </w:p>
        </w:tc>
        <w:tc>
          <w:tcPr>
            <w:tcW w:w="641" w:type="pct"/>
            <w:noWrap w:val="0"/>
            <w:vAlign w:val="center"/>
          </w:tcPr>
          <w:p w14:paraId="59EA51B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5CC8F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281" w:type="pct"/>
            <w:vMerge w:val="continue"/>
            <w:noWrap w:val="0"/>
            <w:vAlign w:val="center"/>
          </w:tcPr>
          <w:p w14:paraId="51E90E6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0EB9718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29BCD51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kern w:val="0"/>
                <w:sz w:val="24"/>
                <w:szCs w:val="24"/>
                <w:highlight w:val="none"/>
              </w:rPr>
            </w:pPr>
            <w:r>
              <w:rPr>
                <w:rFonts w:hint="eastAsia" w:ascii="宋体" w:hAnsi="宋体" w:cs="宋体"/>
                <w:kern w:val="0"/>
                <w:sz w:val="24"/>
                <w:szCs w:val="24"/>
                <w:highlight w:val="none"/>
              </w:rPr>
              <w:t>平台</w:t>
            </w:r>
            <w:r>
              <w:rPr>
                <w:rFonts w:hint="eastAsia" w:ascii="宋体" w:hAnsi="宋体" w:cs="宋体"/>
                <w:kern w:val="0"/>
                <w:sz w:val="24"/>
                <w:szCs w:val="24"/>
                <w:highlight w:val="none"/>
                <w:lang w:val="en-US" w:eastAsia="zh-CN"/>
              </w:rPr>
              <w:t>服务</w:t>
            </w:r>
            <w:r>
              <w:rPr>
                <w:rFonts w:hint="eastAsia" w:ascii="宋体" w:hAnsi="宋体" w:cs="宋体"/>
                <w:kern w:val="0"/>
                <w:sz w:val="24"/>
                <w:szCs w:val="24"/>
                <w:highlight w:val="none"/>
              </w:rPr>
              <w:t>新增及完善</w:t>
            </w:r>
          </w:p>
        </w:tc>
        <w:tc>
          <w:tcPr>
            <w:tcW w:w="2772" w:type="pct"/>
            <w:noWrap w:val="0"/>
            <w:vAlign w:val="center"/>
          </w:tcPr>
          <w:p w14:paraId="03F8465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kern w:val="0"/>
                <w:sz w:val="24"/>
                <w:szCs w:val="24"/>
                <w:highlight w:val="none"/>
              </w:rPr>
            </w:pPr>
            <w:r>
              <w:rPr>
                <w:rFonts w:hint="eastAsia" w:ascii="宋体" w:hAnsi="宋体" w:cs="宋体"/>
                <w:kern w:val="0"/>
                <w:sz w:val="24"/>
                <w:szCs w:val="24"/>
                <w:highlight w:val="none"/>
              </w:rPr>
              <w:t>新建会员系统：新增会员标签管理、会员积分管理、会员等级管理、会员权益管理，根据会员等级推荐相应的产品营销策略，拓展平台会员精准营销手段；优惠券系统完善：在旅游商品、文艺演出、旅游线路子系统版块增加优惠券的使用</w:t>
            </w:r>
            <w:r>
              <w:rPr>
                <w:rFonts w:hint="eastAsia" w:ascii="宋体" w:hAnsi="宋体" w:cs="宋体"/>
                <w:kern w:val="0"/>
                <w:sz w:val="24"/>
                <w:szCs w:val="24"/>
                <w:highlight w:val="none"/>
                <w:lang w:val="en-US" w:eastAsia="zh-CN"/>
              </w:rPr>
              <w:t>服务</w:t>
            </w:r>
            <w:r>
              <w:rPr>
                <w:rFonts w:hint="eastAsia" w:ascii="宋体" w:hAnsi="宋体" w:cs="宋体"/>
                <w:kern w:val="0"/>
                <w:sz w:val="24"/>
                <w:szCs w:val="24"/>
                <w:highlight w:val="none"/>
              </w:rPr>
              <w:t>。</w:t>
            </w:r>
          </w:p>
        </w:tc>
        <w:tc>
          <w:tcPr>
            <w:tcW w:w="641" w:type="pct"/>
            <w:noWrap w:val="0"/>
            <w:vAlign w:val="center"/>
          </w:tcPr>
          <w:p w14:paraId="16255FB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66596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81" w:type="pct"/>
            <w:vMerge w:val="continue"/>
            <w:noWrap w:val="0"/>
            <w:vAlign w:val="center"/>
          </w:tcPr>
          <w:p w14:paraId="5C8E514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40F5E5E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1C2C2F1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kern w:val="0"/>
                <w:sz w:val="24"/>
                <w:szCs w:val="24"/>
              </w:rPr>
            </w:pPr>
            <w:r>
              <w:rPr>
                <w:rFonts w:hint="eastAsia" w:ascii="宋体" w:hAnsi="宋体" w:cs="宋体"/>
                <w:kern w:val="0"/>
                <w:sz w:val="24"/>
                <w:szCs w:val="24"/>
              </w:rPr>
              <w:t>博物馆预约服务</w:t>
            </w:r>
          </w:p>
        </w:tc>
        <w:tc>
          <w:tcPr>
            <w:tcW w:w="2772" w:type="pct"/>
            <w:noWrap w:val="0"/>
            <w:vAlign w:val="center"/>
          </w:tcPr>
          <w:p w14:paraId="76A4704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提供河北博物院</w:t>
            </w:r>
            <w:r>
              <w:rPr>
                <w:rFonts w:hint="eastAsia" w:ascii="宋体" w:hAnsi="宋体" w:cs="宋体"/>
                <w:color w:val="000000"/>
                <w:kern w:val="0"/>
                <w:sz w:val="24"/>
                <w:szCs w:val="24"/>
              </w:rPr>
              <w:t>预约</w:t>
            </w:r>
            <w:r>
              <w:rPr>
                <w:rFonts w:hint="eastAsia" w:ascii="宋体" w:hAnsi="宋体" w:cs="宋体"/>
                <w:color w:val="000000"/>
                <w:kern w:val="0"/>
                <w:sz w:val="24"/>
                <w:szCs w:val="24"/>
                <w:lang w:val="en-US" w:eastAsia="zh-CN"/>
              </w:rPr>
              <w:t>服务</w:t>
            </w:r>
            <w:r>
              <w:rPr>
                <w:rFonts w:hint="eastAsia" w:ascii="宋体" w:hAnsi="宋体" w:cs="宋体"/>
                <w:color w:val="000000"/>
                <w:kern w:val="0"/>
                <w:sz w:val="24"/>
                <w:szCs w:val="24"/>
              </w:rPr>
              <w:t>，为游客提供博物</w:t>
            </w:r>
            <w:r>
              <w:rPr>
                <w:rFonts w:hint="eastAsia" w:ascii="宋体" w:hAnsi="宋体" w:cs="宋体"/>
                <w:color w:val="000000"/>
                <w:kern w:val="0"/>
                <w:sz w:val="24"/>
                <w:szCs w:val="24"/>
                <w:lang w:val="en-US" w:eastAsia="zh-CN"/>
              </w:rPr>
              <w:t>院</w:t>
            </w:r>
            <w:r>
              <w:rPr>
                <w:rFonts w:hint="eastAsia" w:ascii="宋体" w:hAnsi="宋体" w:cs="宋体"/>
                <w:color w:val="000000"/>
                <w:kern w:val="0"/>
                <w:sz w:val="24"/>
                <w:szCs w:val="24"/>
              </w:rPr>
              <w:t>的在线预约。</w:t>
            </w:r>
          </w:p>
        </w:tc>
        <w:tc>
          <w:tcPr>
            <w:tcW w:w="641" w:type="pct"/>
            <w:noWrap w:val="0"/>
            <w:vAlign w:val="center"/>
          </w:tcPr>
          <w:p w14:paraId="0D5E3DF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0AB1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28A694D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750CCB4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00C12E5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kern w:val="0"/>
                <w:sz w:val="24"/>
                <w:szCs w:val="24"/>
              </w:rPr>
            </w:pPr>
            <w:r>
              <w:rPr>
                <w:rFonts w:hint="eastAsia" w:ascii="宋体" w:hAnsi="宋体" w:cs="宋体"/>
                <w:kern w:val="0"/>
                <w:sz w:val="24"/>
                <w:szCs w:val="24"/>
              </w:rPr>
              <w:t>图书馆无证借阅服务</w:t>
            </w:r>
          </w:p>
        </w:tc>
        <w:tc>
          <w:tcPr>
            <w:tcW w:w="2772" w:type="pct"/>
            <w:noWrap w:val="0"/>
            <w:vAlign w:val="center"/>
          </w:tcPr>
          <w:p w14:paraId="0CB4E49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打通图书馆的借阅</w:t>
            </w:r>
            <w:r>
              <w:rPr>
                <w:rFonts w:hint="eastAsia" w:ascii="宋体" w:hAnsi="宋体" w:cs="宋体"/>
                <w:color w:val="000000"/>
                <w:kern w:val="0"/>
                <w:sz w:val="24"/>
                <w:szCs w:val="24"/>
                <w:lang w:val="en-US" w:eastAsia="zh-CN"/>
              </w:rPr>
              <w:t>服务</w:t>
            </w:r>
            <w:r>
              <w:rPr>
                <w:rFonts w:hint="eastAsia" w:ascii="宋体" w:hAnsi="宋体" w:cs="宋体"/>
                <w:color w:val="000000"/>
                <w:kern w:val="0"/>
                <w:sz w:val="24"/>
                <w:szCs w:val="24"/>
              </w:rPr>
              <w:t>，为图书馆提供游客身份信息，使游客可凭借一码通二维码信息即可实现图书馆内无证借阅服务。</w:t>
            </w:r>
          </w:p>
        </w:tc>
        <w:tc>
          <w:tcPr>
            <w:tcW w:w="641" w:type="pct"/>
            <w:noWrap w:val="0"/>
            <w:vAlign w:val="center"/>
          </w:tcPr>
          <w:p w14:paraId="6F85D3E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40F42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281" w:type="pct"/>
            <w:vMerge w:val="continue"/>
            <w:noWrap w:val="0"/>
            <w:vAlign w:val="center"/>
          </w:tcPr>
          <w:p w14:paraId="09FA5B0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690D6B1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1EF181E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kern w:val="0"/>
                <w:sz w:val="24"/>
                <w:szCs w:val="24"/>
              </w:rPr>
            </w:pPr>
            <w:r>
              <w:rPr>
                <w:rFonts w:hint="eastAsia" w:ascii="宋体" w:hAnsi="宋体" w:cs="宋体"/>
                <w:kern w:val="0"/>
                <w:sz w:val="24"/>
                <w:szCs w:val="24"/>
              </w:rPr>
              <w:t>景区一码入园服务</w:t>
            </w:r>
          </w:p>
        </w:tc>
        <w:tc>
          <w:tcPr>
            <w:tcW w:w="2772" w:type="pct"/>
            <w:noWrap w:val="0"/>
            <w:vAlign w:val="center"/>
          </w:tcPr>
          <w:p w14:paraId="027FEEE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“乐游京津冀一码通”购票</w:t>
            </w:r>
            <w:r>
              <w:rPr>
                <w:rFonts w:hint="eastAsia" w:ascii="宋体" w:hAnsi="宋体" w:cs="宋体"/>
                <w:color w:val="000000"/>
                <w:kern w:val="0"/>
                <w:sz w:val="24"/>
                <w:szCs w:val="24"/>
                <w:lang w:val="en-US" w:eastAsia="zh-CN"/>
              </w:rPr>
              <w:t>服务</w:t>
            </w:r>
            <w:r>
              <w:rPr>
                <w:rFonts w:hint="eastAsia" w:ascii="宋体" w:hAnsi="宋体" w:cs="宋体"/>
                <w:color w:val="000000"/>
                <w:kern w:val="0"/>
                <w:sz w:val="24"/>
                <w:szCs w:val="24"/>
              </w:rPr>
              <w:t>，实现一码通OTS服务平台与景区票务系统的对接。</w:t>
            </w:r>
            <w:r>
              <w:rPr>
                <w:rFonts w:hint="eastAsia" w:ascii="宋体" w:hAnsi="宋体" w:cs="宋体"/>
                <w:color w:val="000000"/>
                <w:kern w:val="0"/>
                <w:sz w:val="24"/>
                <w:szCs w:val="24"/>
                <w:lang w:val="en-US" w:eastAsia="zh-CN"/>
              </w:rPr>
              <w:t>实现</w:t>
            </w:r>
            <w:r>
              <w:rPr>
                <w:rFonts w:hint="eastAsia" w:ascii="宋体" w:hAnsi="宋体" w:cs="宋体"/>
                <w:color w:val="000000"/>
                <w:kern w:val="0"/>
                <w:sz w:val="24"/>
                <w:szCs w:val="24"/>
                <w:highlight w:val="none"/>
              </w:rPr>
              <w:t>手持端预约、核销一体化的服务。通过省内重点景区推广，不断提升购票服务覆盖范围。</w:t>
            </w:r>
          </w:p>
        </w:tc>
        <w:tc>
          <w:tcPr>
            <w:tcW w:w="641" w:type="pct"/>
            <w:noWrap w:val="0"/>
            <w:vAlign w:val="center"/>
          </w:tcPr>
          <w:p w14:paraId="3985E3A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72FF1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restart"/>
            <w:noWrap w:val="0"/>
            <w:vAlign w:val="center"/>
          </w:tcPr>
          <w:p w14:paraId="47C6331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二</w:t>
            </w:r>
          </w:p>
        </w:tc>
        <w:tc>
          <w:tcPr>
            <w:tcW w:w="638" w:type="pct"/>
            <w:vMerge w:val="restart"/>
            <w:noWrap w:val="0"/>
            <w:vAlign w:val="center"/>
          </w:tcPr>
          <w:p w14:paraId="1371F16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智慧旅游内容生产服务</w:t>
            </w:r>
          </w:p>
        </w:tc>
        <w:tc>
          <w:tcPr>
            <w:tcW w:w="667" w:type="pct"/>
            <w:noWrap w:val="0"/>
            <w:vAlign w:val="center"/>
          </w:tcPr>
          <w:p w14:paraId="0006193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cs="宋体"/>
                <w:kern w:val="0"/>
                <w:sz w:val="24"/>
                <w:szCs w:val="24"/>
                <w:lang w:val="en-US"/>
              </w:rPr>
            </w:pPr>
            <w:r>
              <w:rPr>
                <w:rFonts w:hint="eastAsia" w:ascii="宋体" w:hAnsi="宋体" w:cs="宋体"/>
                <w:kern w:val="0"/>
                <w:sz w:val="24"/>
                <w:szCs w:val="24"/>
              </w:rPr>
              <w:t>河北文旅</w:t>
            </w:r>
            <w:r>
              <w:rPr>
                <w:rFonts w:hint="eastAsia" w:ascii="宋体" w:hAnsi="宋体" w:cs="宋体"/>
                <w:kern w:val="0"/>
                <w:sz w:val="24"/>
                <w:szCs w:val="24"/>
                <w:lang w:val="en-US" w:eastAsia="zh-CN"/>
              </w:rPr>
              <w:t>品牌宣传服务</w:t>
            </w:r>
          </w:p>
        </w:tc>
        <w:tc>
          <w:tcPr>
            <w:tcW w:w="2772" w:type="pct"/>
            <w:noWrap w:val="0"/>
            <w:vAlign w:val="center"/>
          </w:tcPr>
          <w:p w14:paraId="02E01F6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highlight w:val="none"/>
                <w:lang w:val="en-US" w:eastAsia="zh-CN"/>
              </w:rPr>
              <w:t>提供河北文旅品牌宣传专区服务，</w:t>
            </w:r>
            <w:r>
              <w:rPr>
                <w:rFonts w:hint="eastAsia" w:ascii="宋体" w:hAnsi="宋体" w:cs="宋体"/>
                <w:color w:val="000000"/>
                <w:kern w:val="0"/>
                <w:sz w:val="24"/>
                <w:szCs w:val="24"/>
                <w:highlight w:val="none"/>
              </w:rPr>
              <w:t>深化河北文旅IP，加强河北文旅品牌与一码通平台能力结合。</w:t>
            </w:r>
          </w:p>
        </w:tc>
        <w:tc>
          <w:tcPr>
            <w:tcW w:w="641" w:type="pct"/>
            <w:noWrap w:val="0"/>
            <w:vAlign w:val="center"/>
          </w:tcPr>
          <w:p w14:paraId="3A6D94A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5F837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81" w:type="pct"/>
            <w:vMerge w:val="continue"/>
            <w:noWrap w:val="0"/>
            <w:vAlign w:val="center"/>
          </w:tcPr>
          <w:p w14:paraId="77838D0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27931C1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005BE01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文旅资讯内容服务</w:t>
            </w:r>
          </w:p>
        </w:tc>
        <w:tc>
          <w:tcPr>
            <w:tcW w:w="2772" w:type="pct"/>
            <w:noWrap w:val="0"/>
            <w:vAlign w:val="center"/>
          </w:tcPr>
          <w:p w14:paraId="464278E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提供河北文旅资讯内容持续更新服务，如河北省旅游资讯、旅游政策、文旅政务通知公告等内容服务。</w:t>
            </w:r>
          </w:p>
        </w:tc>
        <w:tc>
          <w:tcPr>
            <w:tcW w:w="641" w:type="pct"/>
            <w:noWrap w:val="0"/>
            <w:vAlign w:val="center"/>
          </w:tcPr>
          <w:p w14:paraId="7C3125D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08D3D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73F7D3B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3C9EADA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5EF1BB2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旅游攻略内容服务</w:t>
            </w:r>
          </w:p>
        </w:tc>
        <w:tc>
          <w:tcPr>
            <w:tcW w:w="2772" w:type="pct"/>
            <w:noWrap w:val="0"/>
            <w:vAlign w:val="center"/>
          </w:tcPr>
          <w:p w14:paraId="76F6C7A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持续提供应季实时的河北旅游攻略内容服务，包括精选路线、乡村旅游、红色旅游、自驾出游、</w:t>
            </w:r>
            <w:r>
              <w:rPr>
                <w:rFonts w:hint="eastAsia" w:ascii="宋体" w:hAnsi="宋体" w:cs="宋体"/>
                <w:color w:val="000000"/>
                <w:kern w:val="0"/>
                <w:sz w:val="24"/>
                <w:szCs w:val="24"/>
                <w:lang w:val="en-US" w:eastAsia="zh-CN"/>
              </w:rPr>
              <w:t>研学旅游、</w:t>
            </w:r>
            <w:r>
              <w:rPr>
                <w:rFonts w:hint="eastAsia" w:ascii="宋体" w:hAnsi="宋体" w:cs="宋体"/>
                <w:color w:val="000000"/>
                <w:kern w:val="0"/>
                <w:sz w:val="24"/>
                <w:szCs w:val="24"/>
              </w:rPr>
              <w:t>周末游、特色美食等攻略内容服务，以图文（或视频）的形式进行展现。要求每周不少于</w:t>
            </w:r>
            <w:r>
              <w:rPr>
                <w:rFonts w:hint="eastAsia" w:ascii="宋体" w:hAnsi="宋体" w:cs="宋体"/>
                <w:color w:val="000000"/>
                <w:kern w:val="0"/>
                <w:sz w:val="24"/>
                <w:szCs w:val="24"/>
                <w:lang w:val="en-US" w:eastAsia="zh-CN"/>
              </w:rPr>
              <w:t>5</w:t>
            </w:r>
            <w:r>
              <w:rPr>
                <w:rFonts w:hint="eastAsia" w:ascii="宋体" w:hAnsi="宋体" w:cs="宋体"/>
                <w:color w:val="000000"/>
                <w:kern w:val="0"/>
                <w:sz w:val="24"/>
                <w:szCs w:val="24"/>
              </w:rPr>
              <w:t>篇攻略。</w:t>
            </w:r>
          </w:p>
        </w:tc>
        <w:tc>
          <w:tcPr>
            <w:tcW w:w="641" w:type="pct"/>
            <w:noWrap w:val="0"/>
            <w:vAlign w:val="center"/>
          </w:tcPr>
          <w:p w14:paraId="5F0F42E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5CAC9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281" w:type="pct"/>
            <w:vMerge w:val="continue"/>
            <w:noWrap w:val="0"/>
            <w:vAlign w:val="center"/>
          </w:tcPr>
          <w:p w14:paraId="49C2775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659BB33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5AB127A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智慧导航内容服务</w:t>
            </w:r>
          </w:p>
        </w:tc>
        <w:tc>
          <w:tcPr>
            <w:tcW w:w="2772" w:type="pct"/>
            <w:noWrap w:val="0"/>
            <w:vAlign w:val="center"/>
          </w:tcPr>
          <w:p w14:paraId="5ED1696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持续丰富完善“一码通”平台的导航服务内容，按季更新全省景区、厕所、停车场、加油站、酒店、商场、医院、文化场馆、公交站、超市、酒店民宿、餐饮、充电桩的公共服务设施的位置导航信息。提供基于游客当前位置，主动智能推荐距离最近的资源位置，提供搜索查找的智慧导航服务，每季度更新一次。</w:t>
            </w:r>
          </w:p>
        </w:tc>
        <w:tc>
          <w:tcPr>
            <w:tcW w:w="641" w:type="pct"/>
            <w:noWrap w:val="0"/>
            <w:vAlign w:val="center"/>
          </w:tcPr>
          <w:p w14:paraId="77AA571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34549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81" w:type="pct"/>
            <w:vMerge w:val="continue"/>
            <w:noWrap w:val="0"/>
            <w:vAlign w:val="center"/>
          </w:tcPr>
          <w:p w14:paraId="45C9AD8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38C4A70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459C37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文化</w:t>
            </w:r>
            <w:r>
              <w:rPr>
                <w:rFonts w:hint="eastAsia" w:ascii="宋体" w:hAnsi="宋体" w:cs="宋体"/>
                <w:color w:val="000000"/>
                <w:kern w:val="0"/>
                <w:sz w:val="24"/>
                <w:szCs w:val="24"/>
                <w:lang w:val="en-US" w:eastAsia="zh-CN"/>
              </w:rPr>
              <w:t>艺术</w:t>
            </w:r>
            <w:r>
              <w:rPr>
                <w:rFonts w:hint="eastAsia" w:ascii="宋体" w:hAnsi="宋体" w:cs="宋体"/>
                <w:color w:val="000000"/>
                <w:kern w:val="0"/>
                <w:sz w:val="24"/>
                <w:szCs w:val="24"/>
              </w:rPr>
              <w:t>内容服务</w:t>
            </w:r>
          </w:p>
        </w:tc>
        <w:tc>
          <w:tcPr>
            <w:tcW w:w="2772" w:type="pct"/>
            <w:noWrap w:val="0"/>
            <w:vAlign w:val="center"/>
          </w:tcPr>
          <w:p w14:paraId="7FAAE83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提供全省文艺特色资源的内容持续更新服务，包括多彩非遗、梨园冀艺、博物馆、非遗美食等，实现图文、音频、视频等多种方式的在线展示。</w:t>
            </w:r>
          </w:p>
        </w:tc>
        <w:tc>
          <w:tcPr>
            <w:tcW w:w="641" w:type="pct"/>
            <w:noWrap w:val="0"/>
            <w:vAlign w:val="center"/>
          </w:tcPr>
          <w:p w14:paraId="3666941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6B2DE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724CE52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73DFC39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4399403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VR河北内容服务</w:t>
            </w:r>
          </w:p>
        </w:tc>
        <w:tc>
          <w:tcPr>
            <w:tcW w:w="2772" w:type="pct"/>
            <w:noWrap w:val="0"/>
            <w:vAlign w:val="center"/>
          </w:tcPr>
          <w:p w14:paraId="23703EC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持续完善河北VR虚拟展示功能，并提供城市、景区、博物馆和旅游新业态等VR全景、语音讲解的展示功能及内容服务，提供至少500个点位的全景VR。</w:t>
            </w:r>
          </w:p>
        </w:tc>
        <w:tc>
          <w:tcPr>
            <w:tcW w:w="641" w:type="pct"/>
            <w:noWrap w:val="0"/>
            <w:vAlign w:val="center"/>
          </w:tcPr>
          <w:p w14:paraId="44E6707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1DDE7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281" w:type="pct"/>
            <w:vMerge w:val="continue"/>
            <w:noWrap w:val="0"/>
            <w:vAlign w:val="center"/>
          </w:tcPr>
          <w:p w14:paraId="1A76C36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45B490D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457F1B4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数字名片内容服务</w:t>
            </w:r>
          </w:p>
        </w:tc>
        <w:tc>
          <w:tcPr>
            <w:tcW w:w="2772" w:type="pct"/>
            <w:noWrap w:val="0"/>
            <w:vAlign w:val="center"/>
          </w:tcPr>
          <w:p w14:paraId="044379C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持续更新平台城市名片、景区名片、美食名片等数字名片内容。城市名片范围覆盖全省13个市（含定州、辛集）、雄安新区，服务内容包括城市介绍、城市旅游时间、乡村节庆、区域介绍、历史介绍、主题游记、热门视频等全方位介绍城市特色资源；对景区的内容进行生产与维护包括基本信息、图文介绍、视频介绍、景区攻略、游玩短视频、游记；美食名片不少于120个，挖掘全省美食资源，服务内容包括店铺或美食图文介绍、美食短视频、位置导航等内容服务。</w:t>
            </w:r>
          </w:p>
        </w:tc>
        <w:tc>
          <w:tcPr>
            <w:tcW w:w="641" w:type="pct"/>
            <w:noWrap w:val="0"/>
            <w:vAlign w:val="center"/>
          </w:tcPr>
          <w:p w14:paraId="1214D49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253A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65D3BFB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0623F32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7F8E49C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自由行旅游线路推荐服务</w:t>
            </w:r>
          </w:p>
        </w:tc>
        <w:tc>
          <w:tcPr>
            <w:tcW w:w="2772" w:type="pct"/>
            <w:noWrap w:val="0"/>
            <w:vAlign w:val="center"/>
          </w:tcPr>
          <w:p w14:paraId="66EBA62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提供应季更新的自由行旅游线路，按照时间轴形式显示行程安排，可查看行程节点的游玩景区、推荐的酒店、美食、餐厅等信息，并支持在线的景区预约购票、酒店预订的支付下单，为游客提供一站式详尽的行程服务。不少于120条。</w:t>
            </w:r>
          </w:p>
        </w:tc>
        <w:tc>
          <w:tcPr>
            <w:tcW w:w="641" w:type="pct"/>
            <w:noWrap w:val="0"/>
            <w:vAlign w:val="center"/>
          </w:tcPr>
          <w:p w14:paraId="7E6D7A2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3A6A3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281" w:type="pct"/>
            <w:vMerge w:val="continue"/>
            <w:noWrap w:val="0"/>
            <w:vAlign w:val="center"/>
          </w:tcPr>
          <w:p w14:paraId="434F26C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48D21E2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44EEC97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旅游地图内容服务</w:t>
            </w:r>
          </w:p>
        </w:tc>
        <w:tc>
          <w:tcPr>
            <w:tcW w:w="2772" w:type="pct"/>
            <w:noWrap w:val="0"/>
            <w:vAlign w:val="center"/>
          </w:tcPr>
          <w:p w14:paraId="74DF91A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重点景区智能导览地图：新增提供全省5A级旅游景区或重点4A级及以下旅</w:t>
            </w:r>
            <w:r>
              <w:rPr>
                <w:rFonts w:hint="eastAsia" w:ascii="宋体" w:hAnsi="宋体" w:cs="宋体"/>
                <w:color w:val="000000"/>
                <w:kern w:val="0"/>
                <w:sz w:val="24"/>
                <w:szCs w:val="24"/>
                <w:highlight w:val="none"/>
              </w:rPr>
              <w:t>游景区不少于</w:t>
            </w:r>
            <w:r>
              <w:rPr>
                <w:rFonts w:hint="eastAsia" w:ascii="宋体" w:hAnsi="宋体" w:cs="宋体"/>
                <w:color w:val="000000"/>
                <w:kern w:val="0"/>
                <w:sz w:val="24"/>
                <w:szCs w:val="24"/>
                <w:highlight w:val="none"/>
                <w:lang w:val="en-US" w:eastAsia="zh-CN"/>
              </w:rPr>
              <w:t>2</w:t>
            </w:r>
            <w:r>
              <w:rPr>
                <w:rFonts w:hint="eastAsia" w:ascii="宋体" w:hAnsi="宋体" w:cs="宋体"/>
                <w:color w:val="000000"/>
                <w:kern w:val="0"/>
                <w:sz w:val="24"/>
                <w:szCs w:val="24"/>
                <w:highlight w:val="none"/>
              </w:rPr>
              <w:t>家的智能导览地图内容生产服务。智能导览地图应基于地图原始比例绘制而成，色彩丰富、道路清晰、生动形象，可以看到精准的道路标识、具象的建筑形式、全面的旅游要素等，应绘制出景区内的景点、餐厅、演出场地、购物点、住宿、卫生间、停车场的具体点位图标，并提供各点位的导航服务，具有视频宣传、智能自动语音讲解、位置查找、线路推荐等资源服务功能和数据内容。</w:t>
            </w:r>
          </w:p>
        </w:tc>
        <w:tc>
          <w:tcPr>
            <w:tcW w:w="641" w:type="pct"/>
            <w:noWrap w:val="0"/>
            <w:vAlign w:val="center"/>
          </w:tcPr>
          <w:p w14:paraId="34C217F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6DCC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281" w:type="pct"/>
            <w:vMerge w:val="continue"/>
            <w:noWrap w:val="0"/>
            <w:vAlign w:val="center"/>
          </w:tcPr>
          <w:p w14:paraId="1DB6B54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0BB383D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1662A9E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重大节日内容资源宣传服务</w:t>
            </w:r>
          </w:p>
        </w:tc>
        <w:tc>
          <w:tcPr>
            <w:tcW w:w="2772" w:type="pct"/>
            <w:noWrap w:val="0"/>
            <w:vAlign w:val="center"/>
          </w:tcPr>
          <w:p w14:paraId="552DBA1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根据平台运营推广工作，进行宣传内容生产，实现重大节日、特色资源、重大活动等在“一码通”平台的推介展示服务，并具备分享转发的功能，推介宣传展示内容全年不少于40篇。其中提供不少于15篇在平台首页以海报轮播图形式进行展示。</w:t>
            </w:r>
          </w:p>
        </w:tc>
        <w:tc>
          <w:tcPr>
            <w:tcW w:w="641" w:type="pct"/>
            <w:noWrap w:val="0"/>
            <w:vAlign w:val="center"/>
          </w:tcPr>
          <w:p w14:paraId="576912A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6EF4A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trPr>
        <w:tc>
          <w:tcPr>
            <w:tcW w:w="281" w:type="pct"/>
            <w:vMerge w:val="restart"/>
            <w:noWrap w:val="0"/>
            <w:vAlign w:val="center"/>
          </w:tcPr>
          <w:p w14:paraId="545A1F5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三</w:t>
            </w:r>
          </w:p>
        </w:tc>
        <w:tc>
          <w:tcPr>
            <w:tcW w:w="638" w:type="pct"/>
            <w:vMerge w:val="restart"/>
            <w:noWrap w:val="0"/>
            <w:vAlign w:val="center"/>
          </w:tcPr>
          <w:p w14:paraId="308CF2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数据中心与数据分析服务</w:t>
            </w:r>
          </w:p>
        </w:tc>
        <w:tc>
          <w:tcPr>
            <w:tcW w:w="667" w:type="pct"/>
            <w:noWrap w:val="0"/>
            <w:vAlign w:val="center"/>
          </w:tcPr>
          <w:p w14:paraId="74B1494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数据中心与数据监测展示服务</w:t>
            </w:r>
          </w:p>
        </w:tc>
        <w:tc>
          <w:tcPr>
            <w:tcW w:w="2772" w:type="pct"/>
            <w:noWrap w:val="0"/>
            <w:vAlign w:val="center"/>
          </w:tcPr>
          <w:p w14:paraId="401A2BD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提供“一码通”电商平台的数据监测服务，实现动态展示和分析。依据“一码通”自有电商的在线产品以及销售数据，能够实时对景区门票、酒店住宿、文旅商品、旅行线路等的接入景区数量、在线产品数量、销售数量、浏览数量、热门产品排行、销售情况分析、游客画像、消费情况分析等进行数据监测，通过对营销数据进行综合性的分析，提供运营决策数据依据。</w:t>
            </w:r>
          </w:p>
        </w:tc>
        <w:tc>
          <w:tcPr>
            <w:tcW w:w="641" w:type="pct"/>
            <w:noWrap w:val="0"/>
            <w:vAlign w:val="center"/>
          </w:tcPr>
          <w:p w14:paraId="71E01AA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16557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0FAEAA3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000000"/>
                <w:kern w:val="0"/>
                <w:sz w:val="24"/>
                <w:szCs w:val="24"/>
                <w:lang w:eastAsia="zh-CN"/>
              </w:rPr>
            </w:pPr>
            <w:r>
              <w:rPr>
                <w:rFonts w:hint="eastAsia" w:ascii="宋体" w:hAnsi="宋体" w:cs="宋体"/>
                <w:b/>
                <w:bCs/>
                <w:color w:val="000000"/>
                <w:kern w:val="0"/>
                <w:sz w:val="24"/>
                <w:szCs w:val="24"/>
                <w:lang w:eastAsia="zh-CN"/>
              </w:rPr>
              <w:t>经</w:t>
            </w:r>
          </w:p>
        </w:tc>
        <w:tc>
          <w:tcPr>
            <w:tcW w:w="638" w:type="pct"/>
            <w:vMerge w:val="continue"/>
            <w:noWrap w:val="0"/>
            <w:vAlign w:val="center"/>
          </w:tcPr>
          <w:p w14:paraId="41006F6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271E89F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kern w:val="0"/>
                <w:sz w:val="24"/>
                <w:szCs w:val="24"/>
              </w:rPr>
            </w:pPr>
            <w:r>
              <w:rPr>
                <w:rFonts w:hint="eastAsia" w:ascii="宋体" w:hAnsi="宋体" w:cs="宋体"/>
                <w:kern w:val="0"/>
                <w:sz w:val="24"/>
                <w:szCs w:val="24"/>
              </w:rPr>
              <w:t>数据报告服务</w:t>
            </w:r>
          </w:p>
        </w:tc>
        <w:tc>
          <w:tcPr>
            <w:tcW w:w="2772" w:type="pct"/>
            <w:noWrap w:val="0"/>
            <w:vAlign w:val="center"/>
          </w:tcPr>
          <w:p w14:paraId="42E436C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提供“一码通”平台用户使用数据分析报告，对用户画像、产品排行榜、购买量等进行全面的数据分析，支撑数据报告导出。报告以周报、季报、年报的形式进行提供。</w:t>
            </w:r>
          </w:p>
        </w:tc>
        <w:tc>
          <w:tcPr>
            <w:tcW w:w="641" w:type="pct"/>
            <w:noWrap w:val="0"/>
            <w:vAlign w:val="center"/>
          </w:tcPr>
          <w:p w14:paraId="4EA4ED3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7AFA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3" w:hRule="atLeast"/>
        </w:trPr>
        <w:tc>
          <w:tcPr>
            <w:tcW w:w="281" w:type="pct"/>
            <w:vMerge w:val="continue"/>
            <w:noWrap w:val="0"/>
            <w:vAlign w:val="center"/>
          </w:tcPr>
          <w:p w14:paraId="0B5F94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7D7132B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6CF8065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智能化统计分析服务</w:t>
            </w:r>
          </w:p>
        </w:tc>
        <w:tc>
          <w:tcPr>
            <w:tcW w:w="2772" w:type="pct"/>
            <w:noWrap w:val="0"/>
            <w:vAlign w:val="center"/>
          </w:tcPr>
          <w:p w14:paraId="5A39C01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提供PC端AI数据分析与预测系统，以自然语言交互为入口，通过接入</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一码通</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平台大数据，结合大模型智能分析能力，实现数据查询、数据分析、数据报告、数据预测可视化的全流程自动化。借助人工智能和大数据完成智能化统计分析，采用隐私保护技术保证数据安全 。</w:t>
            </w:r>
          </w:p>
        </w:tc>
        <w:tc>
          <w:tcPr>
            <w:tcW w:w="641" w:type="pct"/>
            <w:noWrap w:val="0"/>
            <w:vAlign w:val="center"/>
          </w:tcPr>
          <w:p w14:paraId="062459B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3691F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trPr>
        <w:tc>
          <w:tcPr>
            <w:tcW w:w="281" w:type="pct"/>
            <w:vMerge w:val="restart"/>
            <w:noWrap w:val="0"/>
            <w:vAlign w:val="center"/>
          </w:tcPr>
          <w:p w14:paraId="2673DD9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四</w:t>
            </w:r>
          </w:p>
        </w:tc>
        <w:tc>
          <w:tcPr>
            <w:tcW w:w="638" w:type="pct"/>
            <w:vMerge w:val="restart"/>
            <w:noWrap w:val="0"/>
            <w:vAlign w:val="center"/>
          </w:tcPr>
          <w:p w14:paraId="3F8935A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技术深化应用</w:t>
            </w:r>
          </w:p>
        </w:tc>
        <w:tc>
          <w:tcPr>
            <w:tcW w:w="667" w:type="pct"/>
            <w:noWrap w:val="0"/>
            <w:vAlign w:val="center"/>
          </w:tcPr>
          <w:p w14:paraId="1BDF95E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AI智能助手</w:t>
            </w:r>
          </w:p>
        </w:tc>
        <w:tc>
          <w:tcPr>
            <w:tcW w:w="2772" w:type="pct"/>
            <w:noWrap w:val="0"/>
            <w:vAlign w:val="center"/>
          </w:tcPr>
          <w:p w14:paraId="3836F2E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kern w:val="0"/>
                <w:sz w:val="24"/>
                <w:szCs w:val="24"/>
              </w:rPr>
            </w:pPr>
            <w:r>
              <w:rPr>
                <w:rFonts w:hint="eastAsia" w:ascii="宋体" w:hAnsi="宋体" w:cs="宋体"/>
                <w:color w:val="000000"/>
                <w:kern w:val="0"/>
                <w:sz w:val="24"/>
                <w:szCs w:val="24"/>
              </w:rPr>
              <w:t>通过接入人工智能大模型，打造</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一码通</w:t>
            </w:r>
            <w:r>
              <w:rPr>
                <w:rFonts w:hint="eastAsia" w:ascii="宋体" w:hAnsi="宋体" w:cs="宋体"/>
                <w:color w:val="000000"/>
                <w:kern w:val="0"/>
                <w:sz w:val="24"/>
                <w:szCs w:val="24"/>
                <w:lang w:eastAsia="zh-CN"/>
              </w:rPr>
              <w:t>”</w:t>
            </w:r>
            <w:r>
              <w:rPr>
                <w:rFonts w:hint="eastAsia" w:ascii="宋体" w:hAnsi="宋体" w:cs="宋体"/>
                <w:color w:val="000000"/>
                <w:kern w:val="0"/>
                <w:sz w:val="24"/>
                <w:szCs w:val="24"/>
              </w:rPr>
              <w:t>AI数字人服务，为游客提供包括历史文化、特色美食，游览路线等个性化的解答和推荐。</w:t>
            </w:r>
            <w:r>
              <w:rPr>
                <w:rFonts w:hint="eastAsia" w:ascii="宋体" w:hAnsi="宋体" w:cs="宋体"/>
                <w:color w:val="000000"/>
                <w:kern w:val="0"/>
                <w:sz w:val="24"/>
                <w:szCs w:val="24"/>
                <w:highlight w:val="none"/>
              </w:rPr>
              <w:t>并可以基于站内资源，提供线路所涉及的景区门票、特色酒店住宿等商品链接进行购买，无需多次选择。</w:t>
            </w:r>
          </w:p>
        </w:tc>
        <w:tc>
          <w:tcPr>
            <w:tcW w:w="641" w:type="pct"/>
            <w:noWrap w:val="0"/>
            <w:vAlign w:val="center"/>
          </w:tcPr>
          <w:p w14:paraId="5F155DF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3D223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481FC94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7902B91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7670A4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数据底座与权益体系</w:t>
            </w:r>
          </w:p>
        </w:tc>
        <w:tc>
          <w:tcPr>
            <w:tcW w:w="2772" w:type="pct"/>
            <w:noWrap w:val="0"/>
            <w:vAlign w:val="center"/>
          </w:tcPr>
          <w:p w14:paraId="3E564EF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kern w:val="0"/>
                <w:sz w:val="24"/>
                <w:szCs w:val="24"/>
              </w:rPr>
            </w:pPr>
            <w:r>
              <w:rPr>
                <w:rFonts w:hint="eastAsia" w:ascii="宋体" w:hAnsi="宋体" w:cs="宋体"/>
                <w:kern w:val="0"/>
                <w:sz w:val="24"/>
                <w:szCs w:val="24"/>
              </w:rPr>
              <w:t>构建统一数据中台，整合游客行为、消费及会员数据，实现精准营销与服务联动。</w:t>
            </w:r>
          </w:p>
        </w:tc>
        <w:tc>
          <w:tcPr>
            <w:tcW w:w="641" w:type="pct"/>
            <w:noWrap w:val="0"/>
            <w:vAlign w:val="center"/>
          </w:tcPr>
          <w:p w14:paraId="2385108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57988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5FBD3F8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327B221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032D56C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景区场馆专业知识库体系</w:t>
            </w:r>
          </w:p>
        </w:tc>
        <w:tc>
          <w:tcPr>
            <w:tcW w:w="2772" w:type="pct"/>
            <w:noWrap w:val="0"/>
            <w:vAlign w:val="center"/>
          </w:tcPr>
          <w:p w14:paraId="2DEFC71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highlight w:val="none"/>
                <w:lang w:eastAsia="zh-CN"/>
              </w:rPr>
              <w:t>整合景区、酒店等多类知识，借助</w:t>
            </w:r>
            <w:r>
              <w:rPr>
                <w:rFonts w:hint="eastAsia" w:ascii="宋体" w:hAnsi="宋体" w:eastAsia="宋体" w:cs="宋体"/>
                <w:color w:val="000000"/>
                <w:kern w:val="0"/>
                <w:sz w:val="24"/>
                <w:szCs w:val="24"/>
                <w:highlight w:val="none"/>
                <w:lang w:val="en-US" w:eastAsia="zh-CN"/>
              </w:rPr>
              <w:t>AI能力分析，规范存储管理，后续应用于导览、决策等场景，为景区场馆的运营、管理、服务和文化传播等提供全面的知识支持。</w:t>
            </w:r>
          </w:p>
        </w:tc>
        <w:tc>
          <w:tcPr>
            <w:tcW w:w="641" w:type="pct"/>
            <w:noWrap w:val="0"/>
            <w:vAlign w:val="center"/>
          </w:tcPr>
          <w:p w14:paraId="2187CB5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000000"/>
                <w:kern w:val="0"/>
                <w:sz w:val="22"/>
                <w:highlight w:val="yellow"/>
                <w:lang w:val="en-US" w:eastAsia="zh-CN"/>
              </w:rPr>
            </w:pPr>
          </w:p>
        </w:tc>
      </w:tr>
      <w:tr w14:paraId="1CC9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restart"/>
            <w:noWrap w:val="0"/>
            <w:vAlign w:val="center"/>
          </w:tcPr>
          <w:p w14:paraId="19E7FFA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五</w:t>
            </w:r>
          </w:p>
        </w:tc>
        <w:tc>
          <w:tcPr>
            <w:tcW w:w="638" w:type="pct"/>
            <w:vMerge w:val="restart"/>
            <w:noWrap w:val="0"/>
            <w:vAlign w:val="center"/>
          </w:tcPr>
          <w:p w14:paraId="4597378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线上与线下宣传推广服务</w:t>
            </w:r>
          </w:p>
        </w:tc>
        <w:tc>
          <w:tcPr>
            <w:tcW w:w="667" w:type="pct"/>
            <w:noWrap w:val="0"/>
            <w:vAlign w:val="center"/>
          </w:tcPr>
          <w:p w14:paraId="3523993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线上主题活动</w:t>
            </w:r>
          </w:p>
        </w:tc>
        <w:tc>
          <w:tcPr>
            <w:tcW w:w="2772" w:type="pct"/>
            <w:noWrap w:val="0"/>
            <w:vAlign w:val="center"/>
          </w:tcPr>
          <w:p w14:paraId="19A40EDD">
            <w:pPr>
              <w:pStyle w:val="2"/>
              <w:keepNext w:val="0"/>
              <w:keepLines w:val="0"/>
              <w:pageBreakBefore w:val="0"/>
              <w:kinsoku/>
              <w:wordWrap/>
              <w:overflowPunct/>
              <w:topLinePunct w:val="0"/>
              <w:autoSpaceDE/>
              <w:autoSpaceDN/>
              <w:bidi w:val="0"/>
              <w:adjustRightInd/>
              <w:snapToGrid/>
              <w:spacing w:line="400" w:lineRule="exact"/>
              <w:jc w:val="left"/>
              <w:textAlignment w:val="auto"/>
              <w:rPr>
                <w:rFonts w:hint="eastAsia"/>
              </w:rPr>
            </w:pPr>
            <w:r>
              <w:rPr>
                <w:rFonts w:hint="eastAsia" w:cs="宋体"/>
                <w:b w:val="0"/>
                <w:bCs w:val="0"/>
                <w:color w:val="000000"/>
                <w:kern w:val="0"/>
                <w:sz w:val="24"/>
                <w:szCs w:val="24"/>
              </w:rPr>
              <w:t>立足河北旅游资源季节性优势，深入调研全省11个地市、160余个区县的文旅资源分布及客流规律，制定精准的淡旺季运营策略；联动省市文旅资源，统筹协调全年6场重点文旅活动（如“河北冰雪旅游季”“太行山文化节”等），完成活动资源整合、权益匹配及线上线下联动执行，并针对春节、国庆等核心节日IP，累计策划5-8套差异化营销方案，提升用户触达策略和流量转化路径。</w:t>
            </w:r>
          </w:p>
        </w:tc>
        <w:tc>
          <w:tcPr>
            <w:tcW w:w="641" w:type="pct"/>
            <w:noWrap w:val="0"/>
            <w:vAlign w:val="center"/>
          </w:tcPr>
          <w:p w14:paraId="4CCAC7B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763CB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27648FD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4277281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440DC09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线上异业活动</w:t>
            </w:r>
          </w:p>
        </w:tc>
        <w:tc>
          <w:tcPr>
            <w:tcW w:w="2772" w:type="pct"/>
            <w:noWrap w:val="0"/>
            <w:vAlign w:val="center"/>
          </w:tcPr>
          <w:p w14:paraId="7AC63B5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rPr>
            </w:pPr>
            <w:r>
              <w:rPr>
                <w:rFonts w:hint="eastAsia" w:ascii="宋体" w:hAnsi="宋体" w:cs="宋体"/>
                <w:color w:val="000000"/>
                <w:kern w:val="0"/>
                <w:sz w:val="24"/>
                <w:szCs w:val="24"/>
              </w:rPr>
              <w:t>跨行业（快消、金融、本地生活、影音娱乐等）异业资源整合，每季度策划并落地2场以上异业合作活动，高效协调多家合作平台完成复杂权益匹配及高难度流量互换谈判。通过资源置换、联合采购等方式，整合合作平台优质线上广告位（开屏、信息流等）、线下联动活动（品牌快闪、地推等）、媒体广告资源（梯媒、LED屏等）及社交媒体互动（KOL推广、话题营销等），实现全域流量精准触达与高效转化。</w:t>
            </w:r>
          </w:p>
        </w:tc>
        <w:tc>
          <w:tcPr>
            <w:tcW w:w="641" w:type="pct"/>
            <w:noWrap w:val="0"/>
            <w:vAlign w:val="center"/>
          </w:tcPr>
          <w:p w14:paraId="38D7B80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0A8E6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281" w:type="pct"/>
            <w:vMerge w:val="continue"/>
            <w:noWrap w:val="0"/>
            <w:vAlign w:val="center"/>
          </w:tcPr>
          <w:p w14:paraId="15E93E6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27B1EB4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vMerge w:val="restart"/>
            <w:noWrap w:val="0"/>
            <w:vAlign w:val="center"/>
          </w:tcPr>
          <w:p w14:paraId="74FE886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线下推广活动</w:t>
            </w:r>
          </w:p>
        </w:tc>
        <w:tc>
          <w:tcPr>
            <w:tcW w:w="2772" w:type="pct"/>
            <w:noWrap w:val="0"/>
            <w:vAlign w:val="center"/>
          </w:tcPr>
          <w:p w14:paraId="7C991AB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重点布局景区、文博场馆及核心商圈等高流量场景，组建专业地推团队开展跨部门协同，系统推进"一码通"平台线下推广工作。通过精准把握国庆节、中秋节等客流高峰节点，每季度策划并执行不少于2场定制化推广活动，涵盖方案设计、场地搭建到现场执行全流程，有效提升平台曝光度及用户转化率，持续推动用户规模及订单量增长。</w:t>
            </w:r>
          </w:p>
        </w:tc>
        <w:tc>
          <w:tcPr>
            <w:tcW w:w="641" w:type="pct"/>
            <w:noWrap w:val="0"/>
            <w:vAlign w:val="center"/>
          </w:tcPr>
          <w:p w14:paraId="47E1342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1885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81" w:type="pct"/>
            <w:vMerge w:val="continue"/>
            <w:noWrap w:val="0"/>
            <w:vAlign w:val="center"/>
          </w:tcPr>
          <w:p w14:paraId="450526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5843CED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vMerge w:val="continue"/>
            <w:noWrap w:val="0"/>
            <w:vAlign w:val="center"/>
          </w:tcPr>
          <w:p w14:paraId="480BA50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color w:val="000000"/>
                <w:kern w:val="0"/>
                <w:sz w:val="24"/>
                <w:szCs w:val="24"/>
              </w:rPr>
            </w:pPr>
          </w:p>
        </w:tc>
        <w:tc>
          <w:tcPr>
            <w:tcW w:w="2772" w:type="pct"/>
            <w:noWrap w:val="0"/>
            <w:vAlign w:val="center"/>
          </w:tcPr>
          <w:p w14:paraId="68F66CA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rPr>
            </w:pPr>
            <w:r>
              <w:rPr>
                <w:rFonts w:hint="eastAsia" w:ascii="宋体" w:hAnsi="宋体" w:cs="宋体"/>
                <w:color w:val="000000"/>
                <w:kern w:val="0"/>
                <w:sz w:val="24"/>
                <w:szCs w:val="24"/>
              </w:rPr>
              <w:t>设计制作“一码通”标识、宣传展板等线下物料。精细化点位筛选全省核心景区、场馆等高流量场景，精准部署物料，确保高密度覆盖与视觉触达。</w:t>
            </w:r>
          </w:p>
        </w:tc>
        <w:tc>
          <w:tcPr>
            <w:tcW w:w="641" w:type="pct"/>
            <w:noWrap w:val="0"/>
            <w:vAlign w:val="center"/>
          </w:tcPr>
          <w:p w14:paraId="0C3B0D4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3F5FD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281" w:type="pct"/>
            <w:vMerge w:val="continue"/>
            <w:noWrap w:val="0"/>
            <w:vAlign w:val="center"/>
          </w:tcPr>
          <w:p w14:paraId="0697AD3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38" w:type="pct"/>
            <w:vMerge w:val="continue"/>
            <w:noWrap w:val="0"/>
            <w:vAlign w:val="center"/>
          </w:tcPr>
          <w:p w14:paraId="0D2B081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p>
        </w:tc>
        <w:tc>
          <w:tcPr>
            <w:tcW w:w="667" w:type="pct"/>
            <w:noWrap w:val="0"/>
            <w:vAlign w:val="center"/>
          </w:tcPr>
          <w:p w14:paraId="7344FF4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异业权益中心</w:t>
            </w:r>
          </w:p>
        </w:tc>
        <w:tc>
          <w:tcPr>
            <w:tcW w:w="2772" w:type="pct"/>
            <w:noWrap w:val="0"/>
            <w:vAlign w:val="center"/>
          </w:tcPr>
          <w:p w14:paraId="4781FB09">
            <w:pPr>
              <w:pStyle w:val="4"/>
              <w:keepNext w:val="0"/>
              <w:keepLines w:val="0"/>
              <w:pageBreakBefore w:val="0"/>
              <w:widowControl/>
              <w:kinsoku/>
              <w:wordWrap/>
              <w:overflowPunct/>
              <w:topLinePunct w:val="0"/>
              <w:autoSpaceDE/>
              <w:autoSpaceDN/>
              <w:bidi w:val="0"/>
              <w:adjustRightInd/>
              <w:snapToGrid/>
              <w:spacing w:before="0" w:after="0" w:line="400" w:lineRule="exact"/>
              <w:jc w:val="left"/>
              <w:textAlignment w:val="auto"/>
              <w:rPr>
                <w:rFonts w:hint="eastAsia"/>
              </w:rPr>
            </w:pPr>
            <w:r>
              <w:rPr>
                <w:rFonts w:hint="eastAsia" w:ascii="宋体" w:hAnsi="宋体" w:cs="宋体"/>
                <w:color w:val="000000"/>
                <w:sz w:val="24"/>
                <w:szCs w:val="24"/>
              </w:rPr>
              <w:t>整合跨行业差异化权益标准，建立动态权益管理台账并实现月度迭代，持续优化“一码通”平台30余项覆盖出行、酒店、文娱等领域的核心权益。协调多家头部流量平台（如爱奇艺、滴滴打车等）完成权益系统对接，通过精准匹配流量置换比例、优化权益合作机制，显著提升平台权益丰富度与用户活跃度。</w:t>
            </w:r>
          </w:p>
        </w:tc>
        <w:tc>
          <w:tcPr>
            <w:tcW w:w="641" w:type="pct"/>
            <w:noWrap w:val="0"/>
            <w:vAlign w:val="center"/>
          </w:tcPr>
          <w:p w14:paraId="2DA2D60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29C19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restart"/>
            <w:noWrap w:val="0"/>
            <w:vAlign w:val="center"/>
          </w:tcPr>
          <w:p w14:paraId="6F710CB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六</w:t>
            </w:r>
          </w:p>
        </w:tc>
        <w:tc>
          <w:tcPr>
            <w:tcW w:w="638" w:type="pct"/>
            <w:vMerge w:val="restart"/>
            <w:noWrap w:val="0"/>
            <w:vAlign w:val="center"/>
          </w:tcPr>
          <w:p w14:paraId="58C1C6A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文旅营销体系搭建</w:t>
            </w:r>
          </w:p>
        </w:tc>
        <w:tc>
          <w:tcPr>
            <w:tcW w:w="667" w:type="pct"/>
            <w:noWrap w:val="0"/>
            <w:vAlign w:val="center"/>
          </w:tcPr>
          <w:p w14:paraId="4B1D73E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景区</w:t>
            </w:r>
          </w:p>
        </w:tc>
        <w:tc>
          <w:tcPr>
            <w:tcW w:w="2772" w:type="pct"/>
            <w:noWrap w:val="0"/>
            <w:vAlign w:val="center"/>
          </w:tcPr>
          <w:p w14:paraId="629B49B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持续维护、签约京津冀地区不少于300家景区，实现景区门票在线销售、核销及系统对接</w:t>
            </w:r>
            <w:r>
              <w:rPr>
                <w:rFonts w:hint="eastAsia" w:ascii="宋体" w:hAnsi="宋体" w:cs="宋体"/>
                <w:color w:val="000000"/>
                <w:kern w:val="0"/>
                <w:sz w:val="24"/>
                <w:szCs w:val="24"/>
                <w:lang w:val="en-US" w:eastAsia="zh-CN"/>
              </w:rPr>
              <w:t>服务</w:t>
            </w:r>
            <w:r>
              <w:rPr>
                <w:rFonts w:hint="eastAsia" w:ascii="宋体" w:hAnsi="宋体" w:cs="宋体"/>
                <w:color w:val="000000"/>
                <w:kern w:val="0"/>
                <w:sz w:val="24"/>
                <w:szCs w:val="24"/>
              </w:rPr>
              <w:t>，支持平台优惠券、金融优惠券的叠加使用；通过建立完整的产品台账管理体系，并实施月度巡检和定期迭代更新机制，确保平台稳定高效运行。</w:t>
            </w:r>
          </w:p>
        </w:tc>
        <w:tc>
          <w:tcPr>
            <w:tcW w:w="641" w:type="pct"/>
            <w:noWrap w:val="0"/>
            <w:vAlign w:val="center"/>
          </w:tcPr>
          <w:p w14:paraId="14CD090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1E1E4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16496D6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38" w:type="pct"/>
            <w:vMerge w:val="continue"/>
            <w:noWrap w:val="0"/>
            <w:vAlign w:val="center"/>
          </w:tcPr>
          <w:p w14:paraId="11ADB28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67" w:type="pct"/>
            <w:noWrap w:val="0"/>
            <w:vAlign w:val="center"/>
          </w:tcPr>
          <w:p w14:paraId="54C1D63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酒店民宿</w:t>
            </w:r>
          </w:p>
        </w:tc>
        <w:tc>
          <w:tcPr>
            <w:tcW w:w="2772" w:type="pct"/>
            <w:noWrap w:val="0"/>
            <w:vAlign w:val="center"/>
          </w:tcPr>
          <w:p w14:paraId="11EC9ED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持续签约并维护京津冀地区不少于1500家酒店民宿，实现在线查询、在线订房等</w:t>
            </w:r>
            <w:r>
              <w:rPr>
                <w:rFonts w:hint="eastAsia" w:ascii="宋体" w:hAnsi="宋体" w:cs="宋体"/>
                <w:color w:val="000000"/>
                <w:kern w:val="0"/>
                <w:sz w:val="24"/>
                <w:szCs w:val="24"/>
                <w:lang w:val="en-US" w:eastAsia="zh-CN"/>
              </w:rPr>
              <w:t>服务</w:t>
            </w:r>
            <w:r>
              <w:rPr>
                <w:rFonts w:hint="eastAsia" w:ascii="宋体" w:hAnsi="宋体" w:cs="宋体"/>
                <w:color w:val="000000"/>
                <w:kern w:val="0"/>
                <w:sz w:val="24"/>
                <w:szCs w:val="24"/>
              </w:rPr>
              <w:t>并支持平台优惠券、金融优惠券使用；通过建立完整的产品台账管理体系，结合月度巡检与定期迭代更新机制，保障平台稳定高效运营。</w:t>
            </w:r>
          </w:p>
        </w:tc>
        <w:tc>
          <w:tcPr>
            <w:tcW w:w="641" w:type="pct"/>
            <w:noWrap w:val="0"/>
            <w:vAlign w:val="center"/>
          </w:tcPr>
          <w:p w14:paraId="6247506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30364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0442BE7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38" w:type="pct"/>
            <w:vMerge w:val="continue"/>
            <w:noWrap w:val="0"/>
            <w:vAlign w:val="center"/>
          </w:tcPr>
          <w:p w14:paraId="34F8CC8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67" w:type="pct"/>
            <w:noWrap w:val="0"/>
            <w:vAlign w:val="center"/>
          </w:tcPr>
          <w:p w14:paraId="0F95304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旅行</w:t>
            </w:r>
          </w:p>
          <w:p w14:paraId="467EBE6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线路</w:t>
            </w:r>
          </w:p>
        </w:tc>
        <w:tc>
          <w:tcPr>
            <w:tcW w:w="2772" w:type="pct"/>
            <w:noWrap w:val="0"/>
            <w:vAlign w:val="center"/>
          </w:tcPr>
          <w:p w14:paraId="4B84423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维护更新200条以上旅行线路，全面实现在线购买、核销</w:t>
            </w:r>
            <w:r>
              <w:rPr>
                <w:rFonts w:hint="eastAsia" w:ascii="宋体" w:hAnsi="宋体" w:cs="宋体"/>
                <w:color w:val="000000"/>
                <w:kern w:val="0"/>
                <w:sz w:val="24"/>
                <w:szCs w:val="24"/>
                <w:lang w:val="en-US" w:eastAsia="zh-CN"/>
              </w:rPr>
              <w:t>服务</w:t>
            </w:r>
            <w:r>
              <w:rPr>
                <w:rFonts w:hint="eastAsia" w:ascii="宋体" w:hAnsi="宋体" w:cs="宋体"/>
                <w:color w:val="000000"/>
                <w:kern w:val="0"/>
                <w:sz w:val="24"/>
                <w:szCs w:val="24"/>
              </w:rPr>
              <w:t>，并建立标准化台账管理体系；通过月度巡检与定期迭代更新机制，确保线路产品丰富度与平台运营稳定性。</w:t>
            </w:r>
          </w:p>
        </w:tc>
        <w:tc>
          <w:tcPr>
            <w:tcW w:w="641" w:type="pct"/>
            <w:noWrap w:val="0"/>
            <w:vAlign w:val="center"/>
          </w:tcPr>
          <w:p w14:paraId="5FE143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0A15A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5FD5238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38" w:type="pct"/>
            <w:vMerge w:val="continue"/>
            <w:noWrap w:val="0"/>
            <w:vAlign w:val="center"/>
          </w:tcPr>
          <w:p w14:paraId="48A0935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67" w:type="pct"/>
            <w:noWrap w:val="0"/>
            <w:vAlign w:val="center"/>
          </w:tcPr>
          <w:p w14:paraId="6775004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旅行社</w:t>
            </w:r>
          </w:p>
        </w:tc>
        <w:tc>
          <w:tcPr>
            <w:tcW w:w="2772" w:type="pct"/>
            <w:noWrap w:val="0"/>
            <w:vAlign w:val="center"/>
          </w:tcPr>
          <w:p w14:paraId="7D20127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宋体" w:hAnsi="宋体" w:cs="宋体"/>
                <w:color w:val="000000"/>
                <w:kern w:val="0"/>
                <w:sz w:val="24"/>
                <w:szCs w:val="24"/>
              </w:rPr>
            </w:pPr>
            <w:r>
              <w:rPr>
                <w:rFonts w:hint="eastAsia" w:ascii="宋体" w:hAnsi="宋体" w:cs="宋体"/>
                <w:color w:val="000000"/>
                <w:kern w:val="0"/>
                <w:sz w:val="24"/>
                <w:szCs w:val="24"/>
              </w:rPr>
              <w:t>持续保持不低于40家旅行社的深度合作，持续对接并维护线路资源，确保平台稳定供应多样化的出游产品及高效服务。</w:t>
            </w:r>
          </w:p>
        </w:tc>
        <w:tc>
          <w:tcPr>
            <w:tcW w:w="641" w:type="pct"/>
            <w:noWrap w:val="0"/>
            <w:vAlign w:val="center"/>
          </w:tcPr>
          <w:p w14:paraId="7CC2FC1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54454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59B0B1B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38" w:type="pct"/>
            <w:vMerge w:val="continue"/>
            <w:noWrap w:val="0"/>
            <w:vAlign w:val="center"/>
          </w:tcPr>
          <w:p w14:paraId="0F277F6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67" w:type="pct"/>
            <w:noWrap w:val="0"/>
            <w:vAlign w:val="center"/>
          </w:tcPr>
          <w:p w14:paraId="270419B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文艺</w:t>
            </w:r>
          </w:p>
          <w:p w14:paraId="1D6DFFE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演出</w:t>
            </w:r>
          </w:p>
        </w:tc>
        <w:tc>
          <w:tcPr>
            <w:tcW w:w="2772" w:type="pct"/>
            <w:noWrap w:val="0"/>
            <w:vAlign w:val="center"/>
          </w:tcPr>
          <w:p w14:paraId="6ADF130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宋体" w:hAnsi="宋体" w:cs="宋体"/>
                <w:color w:val="000000"/>
                <w:kern w:val="0"/>
                <w:sz w:val="24"/>
                <w:szCs w:val="24"/>
              </w:rPr>
            </w:pPr>
            <w:r>
              <w:rPr>
                <w:rFonts w:hint="eastAsia" w:ascii="宋体" w:hAnsi="宋体" w:cs="宋体"/>
                <w:color w:val="000000"/>
                <w:kern w:val="0"/>
                <w:sz w:val="24"/>
                <w:szCs w:val="24"/>
              </w:rPr>
              <w:t>高效整合不低于5家剧院资源，定期迭代演出内容并同步更新至线上，实现从票务购买、电子核销到库存管理的全链路数字化服务，提升用户观演体验。</w:t>
            </w:r>
          </w:p>
        </w:tc>
        <w:tc>
          <w:tcPr>
            <w:tcW w:w="641" w:type="pct"/>
            <w:noWrap w:val="0"/>
            <w:vAlign w:val="center"/>
          </w:tcPr>
          <w:p w14:paraId="6C1837F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0F498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607B029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38" w:type="pct"/>
            <w:vMerge w:val="continue"/>
            <w:noWrap w:val="0"/>
            <w:vAlign w:val="center"/>
          </w:tcPr>
          <w:p w14:paraId="4D363D1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67" w:type="pct"/>
            <w:noWrap w:val="0"/>
            <w:vAlign w:val="center"/>
          </w:tcPr>
          <w:p w14:paraId="4C1D3B8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文旅</w:t>
            </w:r>
          </w:p>
          <w:p w14:paraId="407E670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商品</w:t>
            </w:r>
          </w:p>
        </w:tc>
        <w:tc>
          <w:tcPr>
            <w:tcW w:w="2772" w:type="pct"/>
            <w:noWrap w:val="0"/>
            <w:vAlign w:val="center"/>
          </w:tcPr>
          <w:p w14:paraId="1718E74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运营管理不低于1000条文旅产品资源库，动态优化产品结构并保障供应时效，支持用户一站式完成购买-配送-售后全链路操作，打造流畅的线上消费体验。</w:t>
            </w:r>
          </w:p>
        </w:tc>
        <w:tc>
          <w:tcPr>
            <w:tcW w:w="641" w:type="pct"/>
            <w:noWrap w:val="0"/>
            <w:vAlign w:val="center"/>
          </w:tcPr>
          <w:p w14:paraId="2E20DC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5E80D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vMerge w:val="continue"/>
            <w:noWrap w:val="0"/>
            <w:vAlign w:val="center"/>
          </w:tcPr>
          <w:p w14:paraId="37128B2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38" w:type="pct"/>
            <w:vMerge w:val="continue"/>
            <w:noWrap w:val="0"/>
            <w:vAlign w:val="center"/>
          </w:tcPr>
          <w:p w14:paraId="666F917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p>
        </w:tc>
        <w:tc>
          <w:tcPr>
            <w:tcW w:w="667" w:type="pct"/>
            <w:noWrap w:val="0"/>
            <w:vAlign w:val="center"/>
          </w:tcPr>
          <w:p w14:paraId="2B842A6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出游</w:t>
            </w:r>
          </w:p>
          <w:p w14:paraId="456EFC2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攻略</w:t>
            </w:r>
          </w:p>
        </w:tc>
        <w:tc>
          <w:tcPr>
            <w:tcW w:w="2772" w:type="pct"/>
            <w:noWrap w:val="0"/>
            <w:vAlign w:val="center"/>
          </w:tcPr>
          <w:p w14:paraId="0F9CC38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平台持续更新并精选优质旅游攻略，系统化维护超2000条高价值攻略资源库，覆盖行程规划、景点推荐、实用贴士等多元场景，为用户提供智能、精准的一站式出游决策支持。</w:t>
            </w:r>
          </w:p>
        </w:tc>
        <w:tc>
          <w:tcPr>
            <w:tcW w:w="641" w:type="pct"/>
            <w:noWrap w:val="0"/>
            <w:vAlign w:val="center"/>
          </w:tcPr>
          <w:p w14:paraId="24038AB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06298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281" w:type="pct"/>
            <w:noWrap w:val="0"/>
            <w:vAlign w:val="center"/>
          </w:tcPr>
          <w:p w14:paraId="79743C3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bCs/>
                <w:color w:val="000000"/>
                <w:kern w:val="0"/>
                <w:sz w:val="24"/>
                <w:szCs w:val="24"/>
              </w:rPr>
            </w:pPr>
            <w:r>
              <w:rPr>
                <w:rFonts w:hint="eastAsia" w:ascii="宋体" w:hAnsi="宋体" w:cs="宋体"/>
                <w:b/>
                <w:bCs/>
                <w:color w:val="000000"/>
                <w:kern w:val="0"/>
                <w:sz w:val="24"/>
                <w:szCs w:val="24"/>
              </w:rPr>
              <w:t>七</w:t>
            </w:r>
          </w:p>
        </w:tc>
        <w:tc>
          <w:tcPr>
            <w:tcW w:w="638" w:type="pct"/>
            <w:noWrap w:val="0"/>
            <w:vAlign w:val="center"/>
          </w:tcPr>
          <w:p w14:paraId="2B47F66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文旅生态权益</w:t>
            </w:r>
          </w:p>
        </w:tc>
        <w:tc>
          <w:tcPr>
            <w:tcW w:w="667" w:type="pct"/>
            <w:noWrap w:val="0"/>
            <w:vAlign w:val="center"/>
          </w:tcPr>
          <w:p w14:paraId="16E2C4E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金融</w:t>
            </w:r>
          </w:p>
          <w:p w14:paraId="1B89A93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权益</w:t>
            </w:r>
          </w:p>
        </w:tc>
        <w:tc>
          <w:tcPr>
            <w:tcW w:w="2772" w:type="pct"/>
            <w:noWrap w:val="0"/>
            <w:vAlign w:val="center"/>
          </w:tcPr>
          <w:p w14:paraId="278CC5C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宋体" w:hAnsi="宋体" w:cs="宋体"/>
                <w:color w:val="000000"/>
                <w:kern w:val="0"/>
                <w:sz w:val="24"/>
                <w:szCs w:val="24"/>
              </w:rPr>
            </w:pPr>
            <w:r>
              <w:rPr>
                <w:rFonts w:hint="eastAsia" w:ascii="宋体" w:hAnsi="宋体" w:cs="宋体"/>
                <w:color w:val="000000"/>
                <w:kern w:val="0"/>
                <w:sz w:val="24"/>
                <w:szCs w:val="24"/>
              </w:rPr>
              <w:t>积极拓展银行合作生态，与国有银行及头部商业银行洽谈金融权益战略合作，精准对接金融消费特惠政策；通过现金直减、满额立减、专属折扣等多元优惠形式，持续策划高性价比惠民主题活动，助力用户降低消费门槛，提升平台产品购买体验。</w:t>
            </w:r>
          </w:p>
        </w:tc>
        <w:tc>
          <w:tcPr>
            <w:tcW w:w="641" w:type="pct"/>
            <w:noWrap w:val="0"/>
            <w:vAlign w:val="center"/>
          </w:tcPr>
          <w:p w14:paraId="3256A1F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702BB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281" w:type="pct"/>
            <w:noWrap w:val="0"/>
            <w:vAlign w:val="center"/>
          </w:tcPr>
          <w:p w14:paraId="6688D91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八</w:t>
            </w:r>
          </w:p>
        </w:tc>
        <w:tc>
          <w:tcPr>
            <w:tcW w:w="638" w:type="pct"/>
            <w:noWrap w:val="0"/>
            <w:vAlign w:val="center"/>
          </w:tcPr>
          <w:p w14:paraId="70B44DE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运营管理团队要求</w:t>
            </w:r>
          </w:p>
        </w:tc>
        <w:tc>
          <w:tcPr>
            <w:tcW w:w="667" w:type="pct"/>
            <w:noWrap w:val="0"/>
            <w:vAlign w:val="center"/>
          </w:tcPr>
          <w:p w14:paraId="49FA765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团队</w:t>
            </w:r>
          </w:p>
          <w:p w14:paraId="19B7CDA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要求</w:t>
            </w:r>
          </w:p>
        </w:tc>
        <w:tc>
          <w:tcPr>
            <w:tcW w:w="2772" w:type="pct"/>
            <w:noWrap w:val="0"/>
            <w:vAlign w:val="center"/>
          </w:tcPr>
          <w:p w14:paraId="5780056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成立专业的运营团队，人数不低于40人。明确团队职责分工。团队分工包括不限于内容采编、活动策划、产品维护、账务对账、技术维护、商务拓展等方面。参与此项目的人员须具有丰富的旅游行业实施经验和一定的学历基础。</w:t>
            </w:r>
          </w:p>
        </w:tc>
        <w:tc>
          <w:tcPr>
            <w:tcW w:w="641" w:type="pct"/>
            <w:noWrap w:val="0"/>
            <w:vAlign w:val="center"/>
          </w:tcPr>
          <w:p w14:paraId="4D2C7F9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3BEAA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281" w:type="pct"/>
            <w:noWrap w:val="0"/>
            <w:vAlign w:val="center"/>
          </w:tcPr>
          <w:p w14:paraId="7B6D54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九</w:t>
            </w:r>
          </w:p>
        </w:tc>
        <w:tc>
          <w:tcPr>
            <w:tcW w:w="638" w:type="pct"/>
            <w:noWrap w:val="0"/>
            <w:vAlign w:val="center"/>
          </w:tcPr>
          <w:p w14:paraId="5D23AB4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4"/>
                <w:szCs w:val="24"/>
              </w:rPr>
            </w:pPr>
            <w:r>
              <w:rPr>
                <w:rFonts w:hint="eastAsia" w:ascii="宋体" w:hAnsi="宋体" w:cs="宋体"/>
                <w:b/>
                <w:bCs/>
                <w:color w:val="000000"/>
                <w:kern w:val="0"/>
                <w:sz w:val="24"/>
                <w:szCs w:val="24"/>
              </w:rPr>
              <w:t>安全服务与法律风险防控要求</w:t>
            </w:r>
          </w:p>
        </w:tc>
        <w:tc>
          <w:tcPr>
            <w:tcW w:w="3439" w:type="pct"/>
            <w:gridSpan w:val="2"/>
            <w:noWrap w:val="0"/>
            <w:vAlign w:val="center"/>
          </w:tcPr>
          <w:p w14:paraId="16BE2F1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建立综合安全服务体系，从网络、系统服务、信息和管理等方面保证平台安全运行。保证平台合法合规地进行市场化运营，防控法律风险和纠纷。</w:t>
            </w:r>
          </w:p>
        </w:tc>
        <w:tc>
          <w:tcPr>
            <w:tcW w:w="641" w:type="pct"/>
            <w:noWrap w:val="0"/>
            <w:vAlign w:val="center"/>
          </w:tcPr>
          <w:p w14:paraId="2B5AA3B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r w14:paraId="08CFD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4358" w:type="pct"/>
            <w:gridSpan w:val="4"/>
            <w:noWrap w:val="0"/>
            <w:vAlign w:val="center"/>
          </w:tcPr>
          <w:p w14:paraId="27641EB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bCs/>
                <w:color w:val="000000"/>
                <w:kern w:val="0"/>
                <w:sz w:val="22"/>
              </w:rPr>
            </w:pPr>
            <w:r>
              <w:rPr>
                <w:rFonts w:hint="eastAsia" w:ascii="宋体" w:hAnsi="宋体" w:cs="宋体"/>
                <w:b/>
                <w:bCs/>
                <w:color w:val="000000"/>
                <w:kern w:val="0"/>
                <w:sz w:val="24"/>
                <w:szCs w:val="24"/>
              </w:rPr>
              <w:t>总计</w:t>
            </w:r>
          </w:p>
        </w:tc>
        <w:tc>
          <w:tcPr>
            <w:tcW w:w="641" w:type="pct"/>
            <w:noWrap w:val="0"/>
            <w:vAlign w:val="center"/>
          </w:tcPr>
          <w:p w14:paraId="6C72AEC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color w:val="000000"/>
                <w:kern w:val="0"/>
                <w:sz w:val="22"/>
              </w:rPr>
            </w:pPr>
          </w:p>
        </w:tc>
      </w:tr>
    </w:tbl>
    <w:p w14:paraId="638FEA1B">
      <w:pPr>
        <w:pStyle w:val="3"/>
        <w:rPr>
          <w:rFonts w:hint="eastAsia"/>
        </w:rPr>
      </w:pPr>
    </w:p>
    <w:p w14:paraId="4F49E4BD">
      <w:bookmarkStart w:id="0" w:name="_GoBack"/>
      <w:bookmarkEnd w:id="0"/>
    </w:p>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177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2"/>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tabs>
        <w:tab w:val="left" w:pos="795"/>
      </w:tabs>
      <w:spacing w:line="0" w:lineRule="atLeast"/>
      <w:jc w:val="center"/>
    </w:pPr>
    <w:rPr>
      <w:rFonts w:ascii="宋体" w:hAnsi="宋体"/>
      <w:b/>
      <w:bCs/>
      <w:sz w:val="32"/>
    </w:rPr>
  </w:style>
  <w:style w:type="paragraph" w:styleId="3">
    <w:name w:val="toc 2"/>
    <w:basedOn w:val="1"/>
    <w:next w:val="1"/>
    <w:qFormat/>
    <w:uiPriority w:val="0"/>
    <w:pPr>
      <w:ind w:left="210"/>
      <w:jc w:val="left"/>
    </w:pPr>
    <w:rPr>
      <w:smallCaps/>
      <w:sz w:val="20"/>
      <w:szCs w:val="20"/>
    </w:rPr>
  </w:style>
  <w:style w:type="paragraph" w:styleId="4">
    <w:name w:val="Normal (Web)"/>
    <w:basedOn w:val="1"/>
    <w:qFormat/>
    <w:uiPriority w:val="0"/>
    <w:pPr>
      <w:spacing w:before="90" w:after="90" w:line="240" w:lineRule="atLeast"/>
      <w:jc w:val="left"/>
    </w:pPr>
    <w:rPr>
      <w:rFonts w:cs="Times New Roman"/>
      <w:kern w:val="0"/>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2025-07-25T06:57:35Z</dcterms:created>
  <dc:creator>Administrator</dc:creator>
  <cp:lastModifiedBy>Administrator</cp:lastModifiedBy>
  <dcterms:modified xsi:type="dcterms:W3CDTF">2025-07-25T06:57:44Z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eyJoZGlkIjoiMmZjZjdkZTE2NDQwNDE3ODc2MWRmZWJlOWFjODhhZmIifQ==</vt:lpwstr>
  </property>
  <property fmtid="{D5CDD505-2E9C-101B-9397-08002B2CF9AE}" pid="4" name="ICV">
    <vt:lpwstr>A2ED4FE35AF542F4A5B3E0C8C0494279_12</vt:lpwstr>
  </property>
</Properties>
</file>