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9CB9B">
      <w:pPr>
        <w:keepNext w:val="0"/>
        <w:keepLines w:val="0"/>
        <w:pageBreakBefore w:val="0"/>
        <w:widowControl w:val="0"/>
        <w:tabs>
          <w:tab w:val="left" w:pos="8640"/>
        </w:tabs>
        <w:kinsoku/>
        <w:wordWrap/>
        <w:overflowPunct/>
        <w:topLinePunct w:val="0"/>
        <w:autoSpaceDE/>
        <w:autoSpaceDN/>
        <w:bidi w:val="0"/>
        <w:adjustRightInd/>
        <w:snapToGrid/>
        <w:spacing w:line="600" w:lineRule="exact"/>
        <w:jc w:val="center"/>
        <w:textAlignment w:val="auto"/>
        <w:rPr>
          <w:rFonts w:hint="eastAsia" w:ascii="方正小标宋简体" w:hAnsi="黑体" w:eastAsia="方正小标宋简体" w:cs="黑体"/>
          <w:color w:val="000000"/>
          <w:sz w:val="44"/>
          <w:szCs w:val="44"/>
          <w:highlight w:val="none"/>
        </w:rPr>
      </w:pPr>
      <w:r>
        <w:rPr>
          <w:rFonts w:ascii="仿宋_GB2312" w:hAnsi="宋体" w:eastAsia="仿宋_GB2312"/>
          <w:sz w:val="44"/>
          <w:szCs w:val="4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36195</wp:posOffset>
                </wp:positionV>
                <wp:extent cx="5615940" cy="635"/>
                <wp:effectExtent l="0" t="0" r="0" b="0"/>
                <wp:wrapNone/>
                <wp:docPr id="1" name="直线 2"/>
                <wp:cNvGraphicFramePr/>
                <a:graphic xmlns:a="http://schemas.openxmlformats.org/drawingml/2006/main">
                  <a:graphicData uri="http://schemas.microsoft.com/office/word/2010/wordprocessingShape">
                    <wps:wsp>
                      <wps:cNvCnPr/>
                      <wps:spPr>
                        <a:xfrm>
                          <a:off x="0" y="0"/>
                          <a:ext cx="5615940" cy="635"/>
                        </a:xfrm>
                        <a:prstGeom prst="line">
                          <a:avLst/>
                        </a:prstGeom>
                        <a:ln w="19050">
                          <a:noFill/>
                        </a:ln>
                      </wps:spPr>
                      <wps:bodyPr upright="1"/>
                    </wps:wsp>
                  </a:graphicData>
                </a:graphic>
              </wp:anchor>
            </w:drawing>
          </mc:Choice>
          <mc:Fallback>
            <w:pict>
              <v:line id="直线 2" o:spid="_x0000_s1026" o:spt="20" style="position:absolute;left:0pt;margin-left:0pt;margin-top:2.85pt;height:0.05pt;width:442.2pt;z-index:251660288;mso-width-relative:page;mso-height-relative:page;" filled="f" stroked="f" coordsize="21600,21600" o:gfxdata="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Bw6f/XSAAAABAEAAA8AAAAAAAAAAQAgAAAA&#10;IgAAAGRycy9kb3ducmV2LnhtbFBLAQIUABQAAAAIAIdO4kDGUf2NnwEAADIDAAAOAAAAAAAAAAEA&#10;IAAAACEBAABkcnMvZTJvRG9jLnhtbFBLBQYAAAAABgAGAFkBAAAyBQAAAAA=&#10;">
                <v:fill on="f" focussize="0,0"/>
                <v:stroke on="f" weight="1.5pt"/>
                <v:imagedata o:title=""/>
                <o:lock v:ext="edit" aspectratio="f"/>
              </v:line>
            </w:pict>
          </mc:Fallback>
        </mc:AlternateContent>
      </w:r>
      <w:r>
        <w:rPr>
          <w:rFonts w:hint="eastAsia" w:ascii="方正小标宋简体" w:hAnsi="黑体" w:eastAsia="方正小标宋简体" w:cs="黑体"/>
          <w:color w:val="000000"/>
          <w:sz w:val="44"/>
          <w:szCs w:val="44"/>
          <w:highlight w:val="none"/>
        </w:rPr>
        <w:t>河北省</w:t>
      </w:r>
      <w:r>
        <w:rPr>
          <w:rFonts w:hint="eastAsia" w:ascii="方正小标宋简体" w:hAnsi="黑体" w:eastAsia="方正小标宋简体" w:cs="黑体"/>
          <w:color w:val="000000"/>
          <w:sz w:val="44"/>
          <w:szCs w:val="44"/>
          <w:highlight w:val="none"/>
          <w:lang w:val="en-US" w:eastAsia="zh-CN"/>
        </w:rPr>
        <w:t>互联网上网服务营业场所</w:t>
      </w:r>
      <w:r>
        <w:rPr>
          <w:rFonts w:hint="eastAsia" w:ascii="方正小标宋简体" w:hAnsi="黑体" w:eastAsia="方正小标宋简体" w:cs="黑体"/>
          <w:color w:val="000000"/>
          <w:sz w:val="44"/>
          <w:szCs w:val="44"/>
          <w:highlight w:val="none"/>
        </w:rPr>
        <w:t>信用评价</w:t>
      </w:r>
    </w:p>
    <w:p w14:paraId="5741FF45">
      <w:pPr>
        <w:keepNext w:val="0"/>
        <w:keepLines w:val="0"/>
        <w:pageBreakBefore w:val="0"/>
        <w:widowControl w:val="0"/>
        <w:tabs>
          <w:tab w:val="left" w:pos="8640"/>
        </w:tabs>
        <w:kinsoku/>
        <w:wordWrap/>
        <w:overflowPunct/>
        <w:topLinePunct w:val="0"/>
        <w:autoSpaceDE/>
        <w:autoSpaceDN/>
        <w:bidi w:val="0"/>
        <w:adjustRightInd/>
        <w:snapToGrid/>
        <w:spacing w:line="600" w:lineRule="exact"/>
        <w:jc w:val="center"/>
        <w:textAlignment w:val="auto"/>
        <w:rPr>
          <w:rFonts w:hint="eastAsia" w:ascii="方正小标宋简体" w:hAnsi="黑体" w:eastAsia="方正小标宋简体" w:cs="黑体"/>
          <w:color w:val="000000"/>
          <w:sz w:val="44"/>
          <w:szCs w:val="44"/>
          <w:highlight w:val="none"/>
        </w:rPr>
      </w:pPr>
      <w:r>
        <w:rPr>
          <w:rFonts w:hint="eastAsia" w:ascii="方正小标宋简体" w:hAnsi="黑体" w:eastAsia="方正小标宋简体" w:cs="黑体"/>
          <w:color w:val="000000"/>
          <w:sz w:val="44"/>
          <w:szCs w:val="44"/>
          <w:highlight w:val="none"/>
        </w:rPr>
        <w:t>管理实施细则（试行）</w:t>
      </w:r>
    </w:p>
    <w:p w14:paraId="0B26A9B6">
      <w:pPr>
        <w:pStyle w:val="2"/>
        <w:keepNext w:val="0"/>
        <w:keepLines w:val="0"/>
        <w:pageBreakBefore w:val="0"/>
        <w:widowControl w:val="0"/>
        <w:kinsoku/>
        <w:wordWrap/>
        <w:overflowPunct/>
        <w:topLinePunct w:val="0"/>
        <w:autoSpaceDE/>
        <w:autoSpaceDN/>
        <w:bidi w:val="0"/>
        <w:adjustRightInd/>
        <w:snapToGrid/>
        <w:spacing w:line="600" w:lineRule="exact"/>
        <w:textAlignment w:val="auto"/>
        <w:rPr>
          <w:highlight w:val="none"/>
        </w:rPr>
      </w:pPr>
    </w:p>
    <w:p w14:paraId="343892D5">
      <w:pPr>
        <w:pStyle w:val="7"/>
        <w:keepNext w:val="0"/>
        <w:keepLines w:val="0"/>
        <w:pageBreakBefore w:val="0"/>
        <w:widowControl/>
        <w:numPr>
          <w:ilvl w:val="0"/>
          <w:numId w:val="2"/>
        </w:numPr>
        <w:kinsoku/>
        <w:wordWrap/>
        <w:overflowPunct/>
        <w:topLinePunct w:val="0"/>
        <w:autoSpaceDE/>
        <w:autoSpaceDN/>
        <w:bidi w:val="0"/>
        <w:adjustRightInd/>
        <w:snapToGrid/>
        <w:spacing w:before="313" w:beforeLines="100" w:after="313" w:afterLines="100" w:line="6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总</w:t>
      </w:r>
      <w:r>
        <w:rPr>
          <w:rFonts w:ascii="黑体" w:hAnsi="黑体" w:eastAsia="黑体"/>
          <w:color w:val="000000"/>
          <w:sz w:val="32"/>
          <w:szCs w:val="32"/>
        </w:rPr>
        <w:t xml:space="preserve"> </w:t>
      </w:r>
      <w:r>
        <w:rPr>
          <w:rFonts w:hint="eastAsia" w:ascii="黑体" w:hAnsi="黑体" w:eastAsia="黑体"/>
          <w:color w:val="000000"/>
          <w:sz w:val="32"/>
          <w:szCs w:val="32"/>
        </w:rPr>
        <w:t>则</w:t>
      </w:r>
    </w:p>
    <w:p w14:paraId="635AA5AB">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rPr>
      </w:pPr>
      <w:r>
        <w:rPr>
          <w:rFonts w:hint="eastAsia" w:ascii="仿宋_GB2312" w:hAnsi="仿宋" w:eastAsia="黑体" w:cs="宋体"/>
          <w:color w:val="000000"/>
          <w:kern w:val="0"/>
          <w:sz w:val="32"/>
          <w:szCs w:val="32"/>
          <w:lang w:val="en-US" w:eastAsia="zh-CN" w:bidi="ar-SA"/>
        </w:rPr>
        <w:t>第一条</w:t>
      </w:r>
      <w:r>
        <w:rPr>
          <w:rFonts w:hint="eastAsia" w:ascii="黑体" w:hAnsi="黑体" w:eastAsia="黑体"/>
          <w:color w:val="000000"/>
          <w:sz w:val="32"/>
          <w:szCs w:val="32"/>
        </w:rPr>
        <w:t>【制定</w:t>
      </w:r>
      <w:r>
        <w:rPr>
          <w:rFonts w:ascii="黑体" w:hAnsi="黑体" w:eastAsia="黑体"/>
          <w:color w:val="000000"/>
          <w:sz w:val="32"/>
          <w:szCs w:val="32"/>
        </w:rPr>
        <w:t>目的</w:t>
      </w:r>
      <w:r>
        <w:rPr>
          <w:rFonts w:hint="eastAsia" w:ascii="黑体" w:hAnsi="黑体" w:eastAsia="黑体"/>
          <w:color w:val="000000"/>
          <w:sz w:val="32"/>
          <w:szCs w:val="32"/>
        </w:rPr>
        <w:t>】</w:t>
      </w:r>
      <w:r>
        <w:rPr>
          <w:rFonts w:hint="eastAsia" w:ascii="仿宋_GB2312" w:hAnsi="仿宋" w:eastAsia="仿宋_GB2312"/>
          <w:color w:val="000000"/>
          <w:sz w:val="32"/>
          <w:szCs w:val="32"/>
        </w:rPr>
        <w:t>为推进河北省文化和旅游行业信用评价工作，加强河北省</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rPr>
        <w:t>的动态管理，建立以信用为基础的新型监管机制，引导</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rPr>
        <w:t>依法从业、诚实守信</w:t>
      </w:r>
      <w:r>
        <w:rPr>
          <w:rFonts w:hint="eastAsia" w:ascii="仿宋_GB2312" w:hAnsi="仿宋" w:eastAsia="仿宋_GB2312"/>
          <w:color w:val="000000"/>
          <w:sz w:val="32"/>
          <w:szCs w:val="32"/>
          <w:highlight w:val="none"/>
        </w:rPr>
        <w:t>，</w:t>
      </w:r>
      <w:r>
        <w:rPr>
          <w:rFonts w:hint="eastAsia" w:ascii="仿宋_GB2312" w:hAnsi="仿宋" w:eastAsia="仿宋_GB2312"/>
          <w:color w:val="000000"/>
          <w:sz w:val="32"/>
          <w:szCs w:val="32"/>
          <w:highlight w:val="none"/>
          <w:lang w:val="en-US" w:eastAsia="zh-CN"/>
        </w:rPr>
        <w:t>依据《中华人民共和国未成年人保护法》</w:t>
      </w:r>
      <w:r>
        <w:rPr>
          <w:rFonts w:hint="eastAsia" w:ascii="仿宋_GB2312" w:hAnsi="仿宋" w:eastAsia="仿宋_GB2312"/>
          <w:color w:val="000000"/>
          <w:sz w:val="32"/>
          <w:szCs w:val="32"/>
          <w:highlight w:val="none"/>
        </w:rPr>
        <w:t>《互联网上网服务营业场所管理条例》</w:t>
      </w:r>
      <w:r>
        <w:rPr>
          <w:rFonts w:hint="eastAsia" w:ascii="仿宋_GB2312" w:hAnsi="仿宋" w:eastAsia="仿宋_GB2312"/>
          <w:color w:val="000000"/>
          <w:sz w:val="32"/>
          <w:szCs w:val="32"/>
          <w:lang w:val="en-US" w:eastAsia="zh-CN"/>
        </w:rPr>
        <w:t>以及</w:t>
      </w:r>
      <w:r>
        <w:rPr>
          <w:rFonts w:hint="eastAsia" w:ascii="仿宋_GB2312" w:hAnsi="仿宋" w:eastAsia="仿宋_GB2312"/>
          <w:color w:val="000000"/>
          <w:sz w:val="32"/>
          <w:szCs w:val="32"/>
        </w:rPr>
        <w:t>文化和旅游部《文化和旅游市场信用管理规定》等法律法规和有关要求，结合本省实际，制定本实施细则。</w:t>
      </w:r>
    </w:p>
    <w:p w14:paraId="2FE12438">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rPr>
      </w:pPr>
      <w:r>
        <w:rPr>
          <w:rFonts w:hint="eastAsia" w:ascii="仿宋_GB2312" w:hAnsi="仿宋" w:eastAsia="黑体" w:cs="宋体"/>
          <w:color w:val="000000"/>
          <w:kern w:val="0"/>
          <w:sz w:val="32"/>
          <w:szCs w:val="32"/>
          <w:lang w:val="en-US" w:eastAsia="zh-CN" w:bidi="ar-SA"/>
        </w:rPr>
        <w:t>第二条【适用范围】</w:t>
      </w:r>
      <w:r>
        <w:rPr>
          <w:rFonts w:hint="eastAsia" w:ascii="仿宋_GB2312" w:hAnsi="仿宋" w:eastAsia="仿宋_GB2312"/>
          <w:color w:val="000000"/>
          <w:sz w:val="32"/>
          <w:szCs w:val="32"/>
        </w:rPr>
        <w:t>本实施细则所称</w:t>
      </w:r>
      <w:r>
        <w:rPr>
          <w:rFonts w:hint="eastAsia" w:ascii="仿宋_GB2312" w:hAnsi="仿宋" w:eastAsia="仿宋_GB2312"/>
          <w:color w:val="000000"/>
          <w:sz w:val="32"/>
          <w:szCs w:val="32"/>
          <w:lang w:val="en-US" w:eastAsia="zh-CN"/>
        </w:rPr>
        <w:t>互联网上网服务营业场所，是指在本省行政区域内已取得《网络文化经营许可证》的，通过计算机等装置向公众提供互联网上网服务的网吧、电脑休闲室等营业性场所</w:t>
      </w:r>
      <w:r>
        <w:rPr>
          <w:rFonts w:hint="eastAsia" w:ascii="仿宋_GB2312" w:hAnsi="仿宋" w:eastAsia="仿宋_GB2312"/>
          <w:color w:val="000000"/>
          <w:sz w:val="32"/>
          <w:szCs w:val="32"/>
        </w:rPr>
        <w:t>。</w:t>
      </w:r>
    </w:p>
    <w:p w14:paraId="1CB33994">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rPr>
      </w:pPr>
      <w:r>
        <w:rPr>
          <w:rFonts w:hint="eastAsia" w:ascii="仿宋_GB2312" w:hAnsi="仿宋" w:eastAsia="黑体" w:cs="宋体"/>
          <w:color w:val="000000"/>
          <w:kern w:val="0"/>
          <w:sz w:val="32"/>
          <w:szCs w:val="32"/>
          <w:lang w:val="en-US" w:eastAsia="zh-CN" w:bidi="ar-SA"/>
        </w:rPr>
        <w:t>第三条【工作原则】</w:t>
      </w:r>
      <w:r>
        <w:rPr>
          <w:rFonts w:hint="eastAsia" w:ascii="仿宋_GB2312" w:hAnsi="仿宋" w:eastAsia="仿宋_GB2312"/>
          <w:color w:val="000000"/>
          <w:sz w:val="32"/>
          <w:szCs w:val="32"/>
        </w:rPr>
        <w:t>本省互联网上网服务营业场所信用评价管理工作应当遵循以下原则：</w:t>
      </w:r>
    </w:p>
    <w:p w14:paraId="660B95B2">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s="宋体"/>
          <w:color w:val="000000"/>
          <w:kern w:val="0"/>
          <w:sz w:val="32"/>
          <w:szCs w:val="32"/>
          <w:lang w:val="en-US" w:eastAsia="zh-CN" w:bidi="ar-SA"/>
        </w:rPr>
        <w:t>（一）</w:t>
      </w:r>
      <w:r>
        <w:rPr>
          <w:rFonts w:hint="eastAsia" w:ascii="仿宋_GB2312" w:hAnsi="仿宋" w:eastAsia="仿宋_GB2312"/>
          <w:color w:val="000000"/>
          <w:sz w:val="32"/>
          <w:szCs w:val="32"/>
          <w:lang w:eastAsia="zh-CN"/>
        </w:rPr>
        <w:t>综合性。多维度选取评价指标，综合反映</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lang w:eastAsia="zh-CN"/>
        </w:rPr>
        <w:t>的信用水平。</w:t>
      </w:r>
    </w:p>
    <w:p w14:paraId="12BE6819">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s="宋体"/>
          <w:color w:val="000000"/>
          <w:kern w:val="0"/>
          <w:sz w:val="32"/>
          <w:szCs w:val="32"/>
          <w:lang w:val="en-US" w:eastAsia="zh-CN" w:bidi="ar-SA"/>
        </w:rPr>
        <w:t>（二）</w:t>
      </w:r>
      <w:r>
        <w:rPr>
          <w:rFonts w:hint="eastAsia" w:ascii="仿宋_GB2312" w:hAnsi="仿宋" w:eastAsia="仿宋_GB2312"/>
          <w:color w:val="000000"/>
          <w:sz w:val="32"/>
          <w:szCs w:val="32"/>
          <w:lang w:eastAsia="zh-CN"/>
        </w:rPr>
        <w:t>引导性。围绕</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lang w:eastAsia="zh-CN"/>
        </w:rPr>
        <w:t>重点监管领域选取指标，通过评价结果公开引导、规范</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lang w:eastAsia="zh-CN"/>
        </w:rPr>
        <w:t>合法经营，提升全省</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lang w:eastAsia="zh-CN"/>
        </w:rPr>
        <w:t>信用水平。</w:t>
      </w:r>
    </w:p>
    <w:p w14:paraId="5F478066">
      <w:pPr>
        <w:pStyle w:val="3"/>
        <w:rPr>
          <w:rFonts w:hint="eastAsia" w:ascii="仿宋_GB2312" w:hAnsi="仿宋" w:eastAsia="仿宋_GB2312"/>
          <w:color w:val="auto"/>
          <w:sz w:val="32"/>
          <w:szCs w:val="32"/>
          <w:lang w:eastAsia="zh-CN"/>
        </w:rPr>
      </w:pPr>
      <w:r>
        <w:rPr>
          <w:rFonts w:hint="eastAsia" w:ascii="仿宋_GB2312" w:hAnsi="仿宋" w:eastAsia="仿宋_GB2312"/>
          <w:strike w:val="0"/>
          <w:dstrike w:val="0"/>
          <w:color w:val="auto"/>
          <w:sz w:val="32"/>
          <w:szCs w:val="32"/>
          <w:lang w:eastAsia="zh-CN"/>
        </w:rPr>
        <w:t>（</w:t>
      </w:r>
      <w:r>
        <w:rPr>
          <w:rFonts w:hint="eastAsia" w:ascii="仿宋_GB2312" w:hAnsi="仿宋" w:eastAsia="仿宋_GB2312"/>
          <w:strike w:val="0"/>
          <w:dstrike w:val="0"/>
          <w:color w:val="auto"/>
          <w:sz w:val="32"/>
          <w:szCs w:val="32"/>
          <w:lang w:val="en-US" w:eastAsia="zh-CN"/>
        </w:rPr>
        <w:t>三</w:t>
      </w:r>
      <w:r>
        <w:rPr>
          <w:rFonts w:hint="eastAsia" w:ascii="仿宋_GB2312" w:hAnsi="仿宋" w:eastAsia="仿宋_GB2312"/>
          <w:strike w:val="0"/>
          <w:dstrike w:val="0"/>
          <w:color w:val="auto"/>
          <w:sz w:val="32"/>
          <w:szCs w:val="32"/>
          <w:lang w:eastAsia="zh-CN"/>
        </w:rPr>
        <w:t>）科学</w:t>
      </w:r>
      <w:r>
        <w:rPr>
          <w:rFonts w:hint="eastAsia" w:ascii="仿宋_GB2312" w:hAnsi="仿宋" w:eastAsia="仿宋_GB2312"/>
          <w:color w:val="auto"/>
          <w:sz w:val="32"/>
          <w:szCs w:val="32"/>
          <w:lang w:eastAsia="zh-CN"/>
        </w:rPr>
        <w:t>性。评价以公共信用信息为基础，结合行业管理信息，客</w:t>
      </w:r>
      <w:r>
        <w:rPr>
          <w:rFonts w:hint="eastAsia" w:ascii="仿宋_GB2312" w:hAnsi="仿宋" w:eastAsia="仿宋_GB2312"/>
          <w:strike w:val="0"/>
          <w:dstrike w:val="0"/>
          <w:color w:val="auto"/>
          <w:sz w:val="32"/>
          <w:szCs w:val="32"/>
          <w:lang w:eastAsia="zh-CN"/>
        </w:rPr>
        <w:t>观真实反映</w:t>
      </w:r>
      <w:r>
        <w:rPr>
          <w:rFonts w:hint="eastAsia" w:ascii="仿宋_GB2312" w:hAnsi="仿宋" w:eastAsia="仿宋_GB2312"/>
          <w:strike w:val="0"/>
          <w:dstrike w:val="0"/>
          <w:color w:val="auto"/>
          <w:sz w:val="32"/>
          <w:szCs w:val="32"/>
          <w:lang w:val="en-US" w:eastAsia="zh-CN"/>
        </w:rPr>
        <w:t>互联网上网服务营业场所信用状况</w:t>
      </w:r>
      <w:r>
        <w:rPr>
          <w:rFonts w:hint="eastAsia" w:ascii="仿宋_GB2312" w:hAnsi="仿宋" w:eastAsia="仿宋_GB2312"/>
          <w:color w:val="auto"/>
          <w:sz w:val="32"/>
          <w:szCs w:val="32"/>
          <w:lang w:eastAsia="zh-CN"/>
        </w:rPr>
        <w:t>。</w:t>
      </w:r>
    </w:p>
    <w:p w14:paraId="62069BF2">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auto"/>
          <w:sz w:val="32"/>
          <w:szCs w:val="32"/>
          <w:lang w:eastAsia="zh-CN"/>
        </w:rPr>
      </w:pPr>
      <w:r>
        <w:rPr>
          <w:rFonts w:hint="eastAsia" w:ascii="黑体" w:hAnsi="黑体" w:eastAsia="黑体" w:cs="黑体"/>
          <w:color w:val="000000"/>
          <w:sz w:val="32"/>
          <w:szCs w:val="32"/>
          <w:lang w:eastAsia="zh-CN"/>
        </w:rPr>
        <w:t>第四条【部门职责】</w:t>
      </w:r>
      <w:r>
        <w:rPr>
          <w:rFonts w:hint="eastAsia" w:ascii="仿宋_GB2312" w:hAnsi="仿宋" w:eastAsia="仿宋_GB2312"/>
          <w:color w:val="auto"/>
          <w:sz w:val="32"/>
          <w:szCs w:val="32"/>
          <w:lang w:eastAsia="zh-CN"/>
        </w:rPr>
        <w:t>省级文化和旅游主管部门负责组织开展全省</w:t>
      </w:r>
      <w:r>
        <w:rPr>
          <w:rFonts w:hint="eastAsia" w:ascii="仿宋_GB2312" w:hAnsi="仿宋" w:eastAsia="仿宋_GB2312"/>
          <w:color w:val="auto"/>
          <w:sz w:val="32"/>
          <w:szCs w:val="32"/>
          <w:lang w:val="en-US" w:eastAsia="zh-CN"/>
        </w:rPr>
        <w:t>互联网上网服务营业场所</w:t>
      </w:r>
      <w:r>
        <w:rPr>
          <w:rFonts w:hint="eastAsia" w:ascii="仿宋_GB2312" w:hAnsi="仿宋" w:eastAsia="仿宋_GB2312"/>
          <w:color w:val="auto"/>
          <w:sz w:val="32"/>
          <w:szCs w:val="32"/>
          <w:lang w:eastAsia="zh-CN"/>
        </w:rPr>
        <w:t>信用评价，制定发布全省统一的信用评价方法、标准和指标体系，依据</w:t>
      </w:r>
      <w:r>
        <w:rPr>
          <w:rFonts w:hint="eastAsia" w:ascii="仿宋_GB2312" w:hAnsi="仿宋" w:eastAsia="仿宋_GB2312"/>
          <w:color w:val="auto"/>
          <w:sz w:val="32"/>
          <w:szCs w:val="32"/>
          <w:lang w:val="en-US" w:eastAsia="zh-CN"/>
        </w:rPr>
        <w:t>互联网上网服务营业场所</w:t>
      </w:r>
      <w:r>
        <w:rPr>
          <w:rFonts w:hint="eastAsia" w:ascii="仿宋_GB2312" w:hAnsi="仿宋" w:eastAsia="仿宋_GB2312"/>
          <w:color w:val="auto"/>
          <w:sz w:val="32"/>
          <w:szCs w:val="32"/>
          <w:lang w:eastAsia="zh-CN"/>
        </w:rPr>
        <w:t>信用评价结果开展分级分类监管工作。</w:t>
      </w:r>
    </w:p>
    <w:p w14:paraId="1F701EEE">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市、县（市、区）级文化和旅游主管部门负责及时归集、填报行业管理过程中产生的信用信息，组织互联网上网服务营业场所填报信用评价所需的信用数据，指导市场主体依申请对信用评价结果进行修复，依据评价结果对辖区内市场主体信用实行动态监管，拓展信用场景应用，不断完善守信激励和失信惩戒机制，</w:t>
      </w:r>
      <w:r>
        <w:rPr>
          <w:rFonts w:hint="eastAsia" w:ascii="仿宋_GB2312" w:hAnsi="仿宋" w:eastAsia="仿宋_GB2312"/>
          <w:color w:val="auto"/>
          <w:sz w:val="32"/>
          <w:szCs w:val="32"/>
          <w:lang w:val="en-US" w:eastAsia="zh-CN"/>
        </w:rPr>
        <w:t>促进</w:t>
      </w:r>
      <w:r>
        <w:rPr>
          <w:rFonts w:hint="eastAsia" w:ascii="仿宋_GB2312" w:hAnsi="仿宋" w:eastAsia="仿宋_GB2312"/>
          <w:color w:val="auto"/>
          <w:sz w:val="32"/>
          <w:szCs w:val="32"/>
          <w:lang w:eastAsia="zh-CN"/>
        </w:rPr>
        <w:t>互联网上网服务经营活动健康发展。</w:t>
      </w:r>
    </w:p>
    <w:p w14:paraId="20C7C4D9">
      <w:pPr>
        <w:pStyle w:val="7"/>
        <w:keepNext w:val="0"/>
        <w:keepLines w:val="0"/>
        <w:pageBreakBefore w:val="0"/>
        <w:widowControl/>
        <w:numPr>
          <w:ilvl w:val="0"/>
          <w:numId w:val="2"/>
        </w:numPr>
        <w:kinsoku/>
        <w:wordWrap/>
        <w:overflowPunct/>
        <w:topLinePunct w:val="0"/>
        <w:autoSpaceDE/>
        <w:autoSpaceDN/>
        <w:bidi w:val="0"/>
        <w:adjustRightInd/>
        <w:snapToGrid/>
        <w:spacing w:before="313" w:beforeLines="100" w:after="313" w:afterLines="100" w:line="6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lang w:val="en-US" w:eastAsia="zh-CN"/>
        </w:rPr>
        <w:t>信用评价</w:t>
      </w:r>
    </w:p>
    <w:p w14:paraId="512DF916">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auto"/>
          <w:sz w:val="32"/>
          <w:szCs w:val="32"/>
          <w:lang w:eastAsia="zh-CN"/>
        </w:rPr>
      </w:pPr>
      <w:r>
        <w:rPr>
          <w:rFonts w:hint="eastAsia" w:ascii="黑体" w:hAnsi="黑体" w:eastAsia="黑体" w:cs="黑体"/>
          <w:color w:val="000000"/>
          <w:sz w:val="32"/>
          <w:szCs w:val="32"/>
          <w:lang w:eastAsia="zh-CN"/>
        </w:rPr>
        <w:t>第五条【评价方法】</w:t>
      </w:r>
      <w:r>
        <w:rPr>
          <w:rFonts w:hint="eastAsia" w:ascii="仿宋_GB2312" w:hAnsi="仿宋" w:eastAsia="仿宋_GB2312"/>
          <w:color w:val="auto"/>
          <w:sz w:val="32"/>
          <w:szCs w:val="32"/>
          <w:lang w:eastAsia="zh-CN"/>
        </w:rPr>
        <w:t>以全国信用信息共享平台（河北）归集的公共信用信息以及我省各级文化和旅游行业主管部门在履行职责过程中产生的信用信息为依据，结合企业公共信用评价结果及</w:t>
      </w:r>
      <w:r>
        <w:rPr>
          <w:rFonts w:hint="eastAsia" w:ascii="仿宋_GB2312" w:hAnsi="仿宋" w:eastAsia="仿宋_GB2312"/>
          <w:color w:val="auto"/>
          <w:sz w:val="32"/>
          <w:szCs w:val="32"/>
          <w:lang w:val="en-US" w:eastAsia="zh-CN"/>
        </w:rPr>
        <w:t>互</w:t>
      </w:r>
      <w:r>
        <w:rPr>
          <w:rFonts w:hint="eastAsia" w:ascii="仿宋_GB2312" w:hAnsi="仿宋" w:eastAsia="仿宋_GB2312"/>
          <w:color w:val="auto"/>
          <w:sz w:val="32"/>
          <w:szCs w:val="32"/>
          <w:lang w:eastAsia="zh-CN"/>
        </w:rPr>
        <w:t>联网上网服务营业场所上报数据，按照本细则规定的分类标准，构建信用评价模型，进行信用等级评价。互联网上网服务营业场所信用评价方法采用等级熔断和指标评分相结合的方式。</w:t>
      </w:r>
    </w:p>
    <w:p w14:paraId="6A6EE422">
      <w:pPr>
        <w:pStyle w:val="3"/>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（一）当</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rPr>
        <w:t>信用指标</w:t>
      </w:r>
      <w:r>
        <w:rPr>
          <w:rFonts w:hint="eastAsia" w:ascii="仿宋_GB2312" w:hAnsi="仿宋" w:eastAsia="仿宋_GB2312"/>
          <w:color w:val="000000"/>
          <w:sz w:val="32"/>
          <w:szCs w:val="32"/>
          <w:lang w:val="en-US" w:eastAsia="zh-CN"/>
        </w:rPr>
        <w:t>出现任意一条或多条等级熔断触发条件（附录表1）时，直接将互联网上网服务营业场所</w:t>
      </w:r>
      <w:r>
        <w:rPr>
          <w:rFonts w:hint="eastAsia" w:ascii="仿宋_GB2312" w:hAnsi="仿宋" w:eastAsia="仿宋_GB2312"/>
          <w:color w:val="000000"/>
          <w:sz w:val="32"/>
          <w:szCs w:val="32"/>
          <w:lang w:eastAsia="zh-CN"/>
        </w:rPr>
        <w:t>信用等级</w:t>
      </w:r>
      <w:r>
        <w:rPr>
          <w:rFonts w:hint="eastAsia" w:ascii="仿宋_GB2312" w:hAnsi="仿宋" w:eastAsia="仿宋_GB2312"/>
          <w:color w:val="000000"/>
          <w:sz w:val="32"/>
          <w:szCs w:val="32"/>
          <w:lang w:val="en-US" w:eastAsia="zh-CN"/>
        </w:rPr>
        <w:t>定</w:t>
      </w:r>
      <w:r>
        <w:rPr>
          <w:rFonts w:hint="eastAsia" w:ascii="仿宋_GB2312" w:hAnsi="仿宋" w:eastAsia="仿宋_GB2312"/>
          <w:color w:val="000000"/>
          <w:sz w:val="32"/>
          <w:szCs w:val="32"/>
        </w:rPr>
        <w:t>为最低</w:t>
      </w:r>
      <w:r>
        <w:rPr>
          <w:rFonts w:hint="eastAsia" w:ascii="仿宋_GB2312" w:hAnsi="仿宋" w:eastAsia="仿宋_GB2312"/>
          <w:color w:val="000000"/>
          <w:sz w:val="32"/>
          <w:szCs w:val="32"/>
          <w:lang w:val="en-US" w:eastAsia="zh-CN"/>
        </w:rPr>
        <w:t>信用</w:t>
      </w:r>
      <w:r>
        <w:rPr>
          <w:rFonts w:hint="eastAsia" w:ascii="仿宋_GB2312" w:hAnsi="仿宋" w:eastAsia="仿宋_GB2312"/>
          <w:color w:val="000000"/>
          <w:sz w:val="32"/>
          <w:szCs w:val="32"/>
        </w:rPr>
        <w:t>等级。</w:t>
      </w:r>
    </w:p>
    <w:p w14:paraId="3DC50318">
      <w:pPr>
        <w:pStyle w:val="7"/>
        <w:spacing w:line="560" w:lineRule="exact"/>
        <w:ind w:firstLine="640" w:firstLineChars="200"/>
        <w:jc w:val="both"/>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lang w:eastAsia="zh-CN"/>
        </w:rPr>
        <w:t>（</w:t>
      </w:r>
      <w:r>
        <w:rPr>
          <w:rFonts w:hint="eastAsia" w:ascii="仿宋_GB2312" w:hAnsi="仿宋" w:eastAsia="仿宋_GB2312"/>
          <w:color w:val="000000"/>
          <w:sz w:val="32"/>
          <w:szCs w:val="32"/>
          <w:highlight w:val="none"/>
          <w:lang w:val="en-US" w:eastAsia="zh-CN"/>
        </w:rPr>
        <w:t>二</w:t>
      </w:r>
      <w:r>
        <w:rPr>
          <w:rFonts w:hint="eastAsia" w:ascii="仿宋_GB2312" w:hAnsi="仿宋" w:eastAsia="仿宋_GB2312"/>
          <w:color w:val="000000"/>
          <w:sz w:val="32"/>
          <w:szCs w:val="32"/>
          <w:highlight w:val="none"/>
          <w:lang w:eastAsia="zh-CN"/>
        </w:rPr>
        <w:t>）</w:t>
      </w:r>
      <w:r>
        <w:rPr>
          <w:rFonts w:hint="eastAsia" w:ascii="仿宋_GB2312" w:hAnsi="仿宋" w:eastAsia="仿宋_GB2312"/>
          <w:color w:val="000000"/>
          <w:sz w:val="32"/>
          <w:szCs w:val="32"/>
          <w:highlight w:val="none"/>
          <w:lang w:val="en-US" w:eastAsia="zh-CN"/>
        </w:rPr>
        <w:t>互联网上网服务营业场所</w:t>
      </w:r>
      <w:r>
        <w:rPr>
          <w:rFonts w:hint="eastAsia" w:ascii="仿宋_GB2312" w:hAnsi="仿宋" w:eastAsia="仿宋_GB2312"/>
          <w:color w:val="000000"/>
          <w:sz w:val="32"/>
          <w:szCs w:val="32"/>
          <w:highlight w:val="none"/>
        </w:rPr>
        <w:t>信用评价指标</w:t>
      </w:r>
      <w:r>
        <w:rPr>
          <w:rFonts w:hint="eastAsia" w:ascii="仿宋_GB2312" w:hAnsi="仿宋" w:eastAsia="仿宋_GB2312"/>
          <w:color w:val="auto"/>
          <w:sz w:val="32"/>
          <w:szCs w:val="32"/>
          <w:highlight w:val="none"/>
          <w:lang w:eastAsia="zh-CN"/>
        </w:rPr>
        <w:t>（附录表</w:t>
      </w:r>
      <w:r>
        <w:rPr>
          <w:rFonts w:hint="eastAsia" w:ascii="仿宋_GB2312" w:hAnsi="仿宋" w:eastAsia="仿宋_GB2312"/>
          <w:color w:val="auto"/>
          <w:sz w:val="32"/>
          <w:szCs w:val="32"/>
          <w:highlight w:val="none"/>
          <w:lang w:val="en-US" w:eastAsia="zh-CN"/>
        </w:rPr>
        <w:t>2</w:t>
      </w:r>
      <w:r>
        <w:rPr>
          <w:rFonts w:hint="eastAsia" w:ascii="仿宋_GB2312" w:hAnsi="仿宋" w:eastAsia="仿宋_GB2312"/>
          <w:color w:val="auto"/>
          <w:sz w:val="32"/>
          <w:szCs w:val="32"/>
          <w:highlight w:val="none"/>
          <w:lang w:eastAsia="zh-CN"/>
        </w:rPr>
        <w:t>）</w:t>
      </w:r>
      <w:r>
        <w:rPr>
          <w:rFonts w:hint="eastAsia" w:ascii="仿宋_GB2312" w:hAnsi="仿宋" w:eastAsia="仿宋_GB2312"/>
          <w:color w:val="000000"/>
          <w:sz w:val="32"/>
          <w:szCs w:val="32"/>
          <w:highlight w:val="none"/>
        </w:rPr>
        <w:t>包括日常经营、行业管理、服务质量、安全管理以及附加分五个方面。信用分值范围为0-1000分</w:t>
      </w:r>
      <w:r>
        <w:rPr>
          <w:rFonts w:hint="eastAsia" w:ascii="仿宋_GB2312" w:hAnsi="仿宋" w:eastAsia="仿宋_GB2312"/>
          <w:color w:val="000000"/>
          <w:sz w:val="32"/>
          <w:szCs w:val="32"/>
          <w:highlight w:val="none"/>
          <w:lang w:eastAsia="zh-CN"/>
        </w:rPr>
        <w:t>（含附加分），</w:t>
      </w:r>
      <w:r>
        <w:rPr>
          <w:rFonts w:hint="eastAsia" w:ascii="仿宋_GB2312" w:hAnsi="仿宋" w:eastAsia="仿宋_GB2312"/>
          <w:color w:val="000000"/>
          <w:sz w:val="32"/>
          <w:szCs w:val="32"/>
          <w:highlight w:val="none"/>
        </w:rPr>
        <w:t>进行信用评分时，初始分值设置为0分。按照附录表</w:t>
      </w:r>
      <w:r>
        <w:rPr>
          <w:rFonts w:hint="eastAsia" w:ascii="仿宋_GB2312" w:hAnsi="仿宋" w:eastAsia="仿宋_GB2312"/>
          <w:color w:val="000000"/>
          <w:sz w:val="32"/>
          <w:szCs w:val="32"/>
          <w:highlight w:val="none"/>
          <w:lang w:val="en-US" w:eastAsia="zh-CN"/>
        </w:rPr>
        <w:t>2</w:t>
      </w:r>
      <w:r>
        <w:rPr>
          <w:rFonts w:hint="eastAsia" w:ascii="仿宋_GB2312" w:hAnsi="仿宋" w:eastAsia="仿宋_GB2312"/>
          <w:color w:val="000000"/>
          <w:sz w:val="32"/>
          <w:szCs w:val="32"/>
          <w:highlight w:val="none"/>
        </w:rPr>
        <w:t>文化和旅游行业（</w:t>
      </w:r>
      <w:r>
        <w:rPr>
          <w:rFonts w:hint="eastAsia" w:ascii="仿宋_GB2312" w:hAnsi="仿宋" w:eastAsia="仿宋_GB2312"/>
          <w:color w:val="000000"/>
          <w:sz w:val="32"/>
          <w:szCs w:val="32"/>
          <w:highlight w:val="none"/>
          <w:lang w:eastAsia="zh-CN"/>
        </w:rPr>
        <w:t>互联网上网服务营业场所</w:t>
      </w:r>
      <w:r>
        <w:rPr>
          <w:rFonts w:hint="eastAsia" w:ascii="仿宋_GB2312" w:hAnsi="仿宋" w:eastAsia="仿宋_GB2312"/>
          <w:color w:val="000000"/>
          <w:sz w:val="32"/>
          <w:szCs w:val="32"/>
          <w:highlight w:val="none"/>
        </w:rPr>
        <w:t>）信用评价指标表规定的指标项评分进行分值相加，得出总得分。</w:t>
      </w:r>
    </w:p>
    <w:p w14:paraId="49B9752B">
      <w:pPr>
        <w:pStyle w:val="7"/>
        <w:spacing w:line="560" w:lineRule="exact"/>
        <w:ind w:firstLine="707" w:firstLineChars="221"/>
        <w:jc w:val="both"/>
        <w:rPr>
          <w:rFonts w:hint="eastAsia" w:ascii="仿宋_GB2312" w:hAnsi="仿宋" w:eastAsia="仿宋_GB2312"/>
          <w:color w:val="000000"/>
          <w:sz w:val="32"/>
          <w:szCs w:val="32"/>
          <w:highlight w:val="none"/>
          <w:lang w:eastAsia="zh-CN"/>
        </w:rPr>
      </w:pPr>
      <w:r>
        <w:rPr>
          <w:rFonts w:hint="eastAsia" w:ascii="仿宋_GB2312" w:hAnsi="仿宋" w:eastAsia="仿宋_GB2312"/>
          <w:color w:val="000000"/>
          <w:sz w:val="32"/>
          <w:szCs w:val="32"/>
          <w:highlight w:val="none"/>
          <w:lang w:eastAsia="zh-CN"/>
        </w:rPr>
        <w:t>（</w:t>
      </w:r>
      <w:r>
        <w:rPr>
          <w:rFonts w:hint="eastAsia" w:ascii="仿宋_GB2312" w:hAnsi="仿宋" w:eastAsia="仿宋_GB2312"/>
          <w:color w:val="000000"/>
          <w:sz w:val="32"/>
          <w:szCs w:val="32"/>
          <w:highlight w:val="none"/>
          <w:lang w:val="en-US" w:eastAsia="zh-CN"/>
        </w:rPr>
        <w:t>三</w:t>
      </w:r>
      <w:r>
        <w:rPr>
          <w:rFonts w:hint="eastAsia" w:ascii="仿宋_GB2312" w:hAnsi="仿宋" w:eastAsia="仿宋_GB2312"/>
          <w:color w:val="000000"/>
          <w:sz w:val="32"/>
          <w:szCs w:val="32"/>
          <w:highlight w:val="none"/>
          <w:lang w:eastAsia="zh-CN"/>
        </w:rPr>
        <w:t>）</w:t>
      </w:r>
      <w:r>
        <w:rPr>
          <w:rFonts w:hint="eastAsia" w:ascii="仿宋_GB2312" w:hAnsi="仿宋" w:eastAsia="仿宋_GB2312"/>
          <w:color w:val="000000"/>
          <w:sz w:val="32"/>
          <w:szCs w:val="32"/>
          <w:highlight w:val="none"/>
          <w:lang w:val="en-US" w:eastAsia="zh-CN"/>
        </w:rPr>
        <w:t>互联网上网服务营业场所</w:t>
      </w:r>
      <w:r>
        <w:rPr>
          <w:rFonts w:hint="eastAsia" w:ascii="仿宋_GB2312" w:hAnsi="仿宋" w:eastAsia="仿宋_GB2312"/>
          <w:color w:val="000000"/>
          <w:sz w:val="32"/>
          <w:szCs w:val="32"/>
          <w:highlight w:val="none"/>
          <w:lang w:eastAsia="zh-CN"/>
        </w:rPr>
        <w:t>信用等级评价计分规则</w:t>
      </w:r>
    </w:p>
    <w:p w14:paraId="41E3B62A">
      <w:pPr>
        <w:pStyle w:val="7"/>
        <w:spacing w:line="560" w:lineRule="exact"/>
        <w:ind w:firstLine="707" w:firstLineChars="221"/>
        <w:jc w:val="both"/>
        <w:rPr>
          <w:rFonts w:hint="default" w:ascii="仿宋_GB2312" w:hAnsi="仿宋" w:eastAsia="仿宋_GB2312"/>
          <w:color w:val="000000"/>
          <w:sz w:val="32"/>
          <w:szCs w:val="32"/>
          <w:highlight w:val="none"/>
          <w:lang w:val="en-US" w:eastAsia="zh-CN"/>
        </w:rPr>
      </w:pPr>
      <w:r>
        <w:rPr>
          <w:rFonts w:hint="eastAsia" w:ascii="仿宋_GB2312" w:hAnsi="仿宋" w:eastAsia="仿宋_GB2312"/>
          <w:color w:val="000000"/>
          <w:sz w:val="32"/>
          <w:szCs w:val="32"/>
          <w:highlight w:val="none"/>
          <w:lang w:val="en-US" w:eastAsia="zh-CN"/>
        </w:rPr>
        <w:t>互联网上网服务营业场所最终信用评价得分=</w:t>
      </w:r>
      <w:r>
        <w:rPr>
          <w:rFonts w:hint="eastAsia" w:ascii="仿宋_GB2312" w:hAnsi="仿宋" w:eastAsia="仿宋_GB2312"/>
          <w:color w:val="auto"/>
          <w:sz w:val="32"/>
          <w:szCs w:val="32"/>
          <w:highlight w:val="none"/>
          <w:lang w:eastAsia="zh-CN"/>
        </w:rPr>
        <w:t>河北省企业公共信用综合评价结果</w:t>
      </w:r>
      <w:r>
        <w:rPr>
          <w:rFonts w:hint="eastAsia" w:ascii="仿宋_GB2312" w:hAnsi="仿宋" w:eastAsia="仿宋_GB2312"/>
          <w:color w:val="000000"/>
          <w:sz w:val="32"/>
          <w:szCs w:val="32"/>
          <w:highlight w:val="none"/>
          <w:lang w:val="en-US" w:eastAsia="zh-CN"/>
        </w:rPr>
        <w:t>得分X20%+互联网上网服务营业场所信用评价结果得分X80%。其中，</w:t>
      </w:r>
    </w:p>
    <w:p w14:paraId="759E14F1">
      <w:pPr>
        <w:pStyle w:val="7"/>
        <w:spacing w:line="560" w:lineRule="exact"/>
        <w:ind w:firstLine="707" w:firstLineChars="221"/>
        <w:jc w:val="both"/>
        <w:rPr>
          <w:rFonts w:hint="default" w:ascii="仿宋_GB2312" w:hAnsi="仿宋" w:eastAsia="仿宋_GB2312"/>
          <w:color w:val="000000"/>
          <w:sz w:val="32"/>
          <w:szCs w:val="32"/>
          <w:highlight w:val="none"/>
          <w:lang w:val="en-US" w:eastAsia="zh-CN"/>
        </w:rPr>
      </w:pPr>
      <w:r>
        <w:rPr>
          <w:rFonts w:hint="eastAsia" w:ascii="仿宋_GB2312" w:hAnsi="仿宋" w:eastAsia="仿宋_GB2312"/>
          <w:color w:val="auto"/>
          <w:sz w:val="32"/>
          <w:szCs w:val="32"/>
          <w:highlight w:val="none"/>
          <w:lang w:eastAsia="zh-CN"/>
        </w:rPr>
        <w:t>河北省企业公共信用综合评价结果</w:t>
      </w:r>
      <w:r>
        <w:rPr>
          <w:rFonts w:hint="eastAsia" w:ascii="仿宋_GB2312" w:hAnsi="仿宋" w:eastAsia="仿宋_GB2312"/>
          <w:color w:val="000000"/>
          <w:sz w:val="32"/>
          <w:szCs w:val="32"/>
          <w:highlight w:val="none"/>
          <w:lang w:val="en-US" w:eastAsia="zh-CN"/>
        </w:rPr>
        <w:t>来源于河北省社会信用信息中心提供数据。</w:t>
      </w:r>
    </w:p>
    <w:p w14:paraId="279B34BE">
      <w:pPr>
        <w:pStyle w:val="7"/>
        <w:spacing w:line="560" w:lineRule="exact"/>
        <w:ind w:firstLine="707" w:firstLineChars="221"/>
        <w:jc w:val="both"/>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lang w:val="en-US" w:eastAsia="zh-CN"/>
        </w:rPr>
        <w:t>互联网上网服务营业场所信用评价得分指的是省级文旅部门依据附录表2文化和旅游行业（互联网上网服务营业场所）信用评价指标表计算出的信用评价得分。</w:t>
      </w:r>
    </w:p>
    <w:p w14:paraId="4EA305A2">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第六条【评价规则】</w:t>
      </w:r>
      <w:r>
        <w:rPr>
          <w:rFonts w:hint="eastAsia" w:ascii="仿宋_GB2312" w:hAnsi="仿宋" w:eastAsia="仿宋_GB2312"/>
          <w:color w:val="000000"/>
          <w:sz w:val="32"/>
          <w:szCs w:val="32"/>
          <w:highlight w:val="none"/>
          <w:lang w:eastAsia="zh-CN"/>
        </w:rPr>
        <w:t>信用评价数据实行动态管理，信用评价结果依据信用数据变化而发生变动。</w:t>
      </w:r>
    </w:p>
    <w:p w14:paraId="271C381A">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第七条【信用等级】</w:t>
      </w:r>
      <w:r>
        <w:rPr>
          <w:rFonts w:hint="eastAsia" w:ascii="仿宋_GB2312" w:hAnsi="仿宋" w:eastAsia="仿宋_GB2312"/>
          <w:color w:val="000000"/>
          <w:sz w:val="32"/>
          <w:szCs w:val="32"/>
          <w:highlight w:val="none"/>
          <w:lang w:eastAsia="zh-CN"/>
        </w:rPr>
        <w:t>河北省</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highlight w:val="none"/>
          <w:lang w:eastAsia="zh-CN"/>
        </w:rPr>
        <w:t>信用评价划分为 A（优秀）、B（良好）、C（中等）、D（较差）、E（差）5级。</w:t>
      </w:r>
    </w:p>
    <w:p w14:paraId="4D80BB9B">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仿宋_GB2312" w:hAnsi="仿宋" w:eastAsia="仿宋_GB2312"/>
          <w:color w:val="000000"/>
          <w:sz w:val="32"/>
          <w:szCs w:val="32"/>
          <w:highlight w:val="none"/>
          <w:lang w:eastAsia="zh-CN"/>
        </w:rPr>
        <w:t>（一）</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highlight w:val="none"/>
          <w:lang w:eastAsia="zh-CN"/>
        </w:rPr>
        <w:t>总体信用分值范围为0-1200分。进行信用评分时，初始分值设置为0分。</w:t>
      </w:r>
    </w:p>
    <w:p w14:paraId="7372F51D">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仿宋_GB2312" w:hAnsi="仿宋" w:eastAsia="仿宋_GB2312"/>
          <w:color w:val="000000"/>
          <w:sz w:val="32"/>
          <w:szCs w:val="32"/>
          <w:highlight w:val="none"/>
          <w:lang w:eastAsia="zh-CN"/>
        </w:rPr>
        <w:t>（二）按照附录表2中的</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highlight w:val="none"/>
          <w:lang w:eastAsia="zh-CN"/>
        </w:rPr>
        <w:t>信用指标项评分进行分值相加，计算总得分。</w:t>
      </w:r>
    </w:p>
    <w:p w14:paraId="7A2F3BF5">
      <w:pPr>
        <w:pStyle w:val="7"/>
        <w:keepNext w:val="0"/>
        <w:keepLines w:val="0"/>
        <w:pageBreakBefore w:val="0"/>
        <w:widowControl/>
        <w:numPr>
          <w:ilvl w:val="0"/>
          <w:numId w:val="2"/>
        </w:numPr>
        <w:kinsoku/>
        <w:wordWrap/>
        <w:overflowPunct/>
        <w:topLinePunct w:val="0"/>
        <w:autoSpaceDE/>
        <w:autoSpaceDN/>
        <w:bidi w:val="0"/>
        <w:adjustRightInd/>
        <w:snapToGrid/>
        <w:spacing w:before="313" w:beforeLines="100" w:after="313" w:afterLines="100" w:line="6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lang w:val="en-US" w:eastAsia="zh-CN"/>
        </w:rPr>
        <w:t>评价结果</w:t>
      </w:r>
    </w:p>
    <w:p w14:paraId="34A560BB">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第八条【结果表示】</w:t>
      </w:r>
      <w:r>
        <w:rPr>
          <w:rFonts w:hint="eastAsia" w:ascii="仿宋_GB2312" w:hAnsi="仿宋" w:eastAsia="仿宋_GB2312"/>
          <w:color w:val="000000"/>
          <w:sz w:val="32"/>
          <w:szCs w:val="32"/>
          <w:lang w:val="en-US" w:eastAsia="zh-CN"/>
        </w:rPr>
        <w:t>互联网上网服务营业场所</w:t>
      </w:r>
      <w:r>
        <w:rPr>
          <w:rFonts w:hint="eastAsia" w:ascii="仿宋_GB2312" w:hAnsi="仿宋" w:eastAsia="仿宋_GB2312"/>
          <w:color w:val="000000"/>
          <w:sz w:val="32"/>
          <w:szCs w:val="32"/>
          <w:highlight w:val="none"/>
          <w:lang w:eastAsia="zh-CN"/>
        </w:rPr>
        <w:t>信用等级按照信用分值从高到低分别用A、B、C、D、E</w:t>
      </w:r>
      <w:r>
        <w:rPr>
          <w:rFonts w:hint="eastAsia" w:ascii="仿宋_GB2312" w:hAnsi="仿宋" w:eastAsia="仿宋_GB2312"/>
          <w:color w:val="000000"/>
          <w:sz w:val="32"/>
          <w:szCs w:val="32"/>
          <w:highlight w:val="none"/>
          <w:lang w:val="en-US" w:eastAsia="zh-CN"/>
        </w:rPr>
        <w:t xml:space="preserve"> </w:t>
      </w:r>
      <w:r>
        <w:rPr>
          <w:rFonts w:hint="eastAsia" w:ascii="仿宋_GB2312" w:hAnsi="仿宋" w:eastAsia="仿宋_GB2312"/>
          <w:color w:val="000000"/>
          <w:sz w:val="32"/>
          <w:szCs w:val="32"/>
          <w:highlight w:val="none"/>
          <w:lang w:eastAsia="zh-CN"/>
        </w:rPr>
        <w:t>五个等级表示：</w:t>
      </w:r>
    </w:p>
    <w:p w14:paraId="149D5711">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p>
    <w:tbl>
      <w:tblPr>
        <w:tblStyle w:val="8"/>
        <w:tblW w:w="8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3"/>
        <w:gridCol w:w="1251"/>
        <w:gridCol w:w="1758"/>
        <w:gridCol w:w="4136"/>
      </w:tblGrid>
      <w:tr w14:paraId="094FA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jc w:val="center"/>
        </w:trPr>
        <w:tc>
          <w:tcPr>
            <w:tcW w:w="1093" w:type="dxa"/>
            <w:tcBorders>
              <w:top w:val="single" w:color="000000" w:sz="8" w:space="0"/>
              <w:left w:val="single" w:color="000000" w:sz="8" w:space="0"/>
              <w:bottom w:val="single" w:color="000000" w:sz="8" w:space="0"/>
              <w:right w:val="single" w:color="000000" w:sz="8" w:space="0"/>
            </w:tcBorders>
            <w:shd w:val="clear" w:color="auto" w:fill="F2F2F2"/>
            <w:vAlign w:val="center"/>
          </w:tcPr>
          <w:p w14:paraId="597F05E4">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等级符号</w:t>
            </w:r>
          </w:p>
        </w:tc>
        <w:tc>
          <w:tcPr>
            <w:tcW w:w="1251" w:type="dxa"/>
            <w:tcBorders>
              <w:top w:val="single" w:color="000000" w:sz="8" w:space="0"/>
              <w:left w:val="single" w:color="000000" w:sz="8" w:space="0"/>
              <w:bottom w:val="single" w:color="000000" w:sz="8" w:space="0"/>
              <w:right w:val="single" w:color="000000" w:sz="8" w:space="0"/>
            </w:tcBorders>
            <w:shd w:val="clear" w:color="auto" w:fill="F2F2F2"/>
            <w:vAlign w:val="center"/>
          </w:tcPr>
          <w:p w14:paraId="7683DD2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信用表示</w:t>
            </w:r>
          </w:p>
        </w:tc>
        <w:tc>
          <w:tcPr>
            <w:tcW w:w="1758" w:type="dxa"/>
            <w:tcBorders>
              <w:top w:val="single" w:color="000000" w:sz="8" w:space="0"/>
              <w:left w:val="single" w:color="000000" w:sz="8" w:space="0"/>
              <w:bottom w:val="single" w:color="000000" w:sz="8" w:space="0"/>
              <w:right w:val="single" w:color="000000" w:sz="8" w:space="0"/>
            </w:tcBorders>
            <w:shd w:val="clear" w:color="auto" w:fill="F2F2F2"/>
            <w:vAlign w:val="center"/>
          </w:tcPr>
          <w:p w14:paraId="1E87279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分值范围</w:t>
            </w:r>
          </w:p>
        </w:tc>
        <w:tc>
          <w:tcPr>
            <w:tcW w:w="4136" w:type="dxa"/>
            <w:tcBorders>
              <w:top w:val="single" w:color="000000" w:sz="8" w:space="0"/>
              <w:left w:val="single" w:color="000000" w:sz="8" w:space="0"/>
              <w:bottom w:val="single" w:color="000000" w:sz="8" w:space="0"/>
              <w:right w:val="single" w:color="000000" w:sz="8" w:space="0"/>
            </w:tcBorders>
            <w:shd w:val="clear" w:color="auto" w:fill="F2F2F2"/>
            <w:vAlign w:val="center"/>
          </w:tcPr>
          <w:p w14:paraId="2C85AB7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信用提示</w:t>
            </w:r>
          </w:p>
        </w:tc>
      </w:tr>
      <w:tr w14:paraId="30CC3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93" w:type="dxa"/>
            <w:tcBorders>
              <w:top w:val="nil"/>
              <w:left w:val="single" w:color="000000" w:sz="8" w:space="0"/>
              <w:bottom w:val="single" w:color="000000" w:sz="8" w:space="0"/>
              <w:right w:val="single" w:color="000000" w:sz="8" w:space="0"/>
            </w:tcBorders>
            <w:shd w:val="clear" w:color="auto" w:fill="auto"/>
            <w:vAlign w:val="center"/>
          </w:tcPr>
          <w:p w14:paraId="541414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t>
            </w:r>
          </w:p>
        </w:tc>
        <w:tc>
          <w:tcPr>
            <w:tcW w:w="1251" w:type="dxa"/>
            <w:tcBorders>
              <w:top w:val="nil"/>
              <w:left w:val="single" w:color="000000" w:sz="8" w:space="0"/>
              <w:bottom w:val="single" w:color="000000" w:sz="8" w:space="0"/>
              <w:right w:val="single" w:color="000000" w:sz="8" w:space="0"/>
            </w:tcBorders>
            <w:shd w:val="clear" w:color="auto" w:fill="auto"/>
            <w:vAlign w:val="center"/>
          </w:tcPr>
          <w:p w14:paraId="134AF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优秀</w:t>
            </w:r>
          </w:p>
        </w:tc>
        <w:tc>
          <w:tcPr>
            <w:tcW w:w="1758" w:type="dxa"/>
            <w:tcBorders>
              <w:top w:val="nil"/>
              <w:left w:val="single" w:color="000000" w:sz="8" w:space="0"/>
              <w:bottom w:val="single" w:color="000000" w:sz="8" w:space="0"/>
              <w:right w:val="single" w:color="000000" w:sz="8" w:space="0"/>
            </w:tcBorders>
            <w:shd w:val="clear" w:color="auto" w:fill="auto"/>
            <w:vAlign w:val="center"/>
          </w:tcPr>
          <w:p w14:paraId="3EDD91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（800，1200]</w:t>
            </w:r>
          </w:p>
        </w:tc>
        <w:tc>
          <w:tcPr>
            <w:tcW w:w="4136" w:type="dxa"/>
            <w:tcBorders>
              <w:top w:val="nil"/>
              <w:left w:val="single" w:color="000000" w:sz="8" w:space="0"/>
              <w:bottom w:val="single" w:color="000000" w:sz="8" w:space="0"/>
              <w:right w:val="single" w:color="000000" w:sz="8" w:space="0"/>
            </w:tcBorders>
            <w:shd w:val="clear" w:color="auto" w:fill="auto"/>
            <w:vAlign w:val="center"/>
          </w:tcPr>
          <w:p w14:paraId="1AC60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表示在一定期限内，信用风险低</w:t>
            </w:r>
          </w:p>
        </w:tc>
      </w:tr>
      <w:tr w14:paraId="619F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A47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w:t>
            </w:r>
          </w:p>
        </w:tc>
        <w:tc>
          <w:tcPr>
            <w:tcW w:w="12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20F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良好</w:t>
            </w:r>
          </w:p>
        </w:tc>
        <w:tc>
          <w:tcPr>
            <w:tcW w:w="175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5DC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（700，800]</w:t>
            </w:r>
          </w:p>
        </w:tc>
        <w:tc>
          <w:tcPr>
            <w:tcW w:w="41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7FC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表示在一定期限内，信用风险较低</w:t>
            </w:r>
          </w:p>
        </w:tc>
      </w:tr>
      <w:tr w14:paraId="6C54A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2A8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w:t>
            </w:r>
          </w:p>
        </w:tc>
        <w:tc>
          <w:tcPr>
            <w:tcW w:w="12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FD0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中等</w:t>
            </w:r>
          </w:p>
        </w:tc>
        <w:tc>
          <w:tcPr>
            <w:tcW w:w="175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DA0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（600，700]</w:t>
            </w:r>
          </w:p>
        </w:tc>
        <w:tc>
          <w:tcPr>
            <w:tcW w:w="41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667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表示在一定期限内，存在一般信用风险</w:t>
            </w:r>
          </w:p>
        </w:tc>
      </w:tr>
      <w:tr w14:paraId="4DB99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09855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w:t>
            </w:r>
          </w:p>
        </w:tc>
        <w:tc>
          <w:tcPr>
            <w:tcW w:w="12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926C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较差</w:t>
            </w:r>
          </w:p>
        </w:tc>
        <w:tc>
          <w:tcPr>
            <w:tcW w:w="175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CF54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（300，600]</w:t>
            </w:r>
          </w:p>
        </w:tc>
        <w:tc>
          <w:tcPr>
            <w:tcW w:w="41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48AA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表示在一定期限内，存在有一定信用风险</w:t>
            </w:r>
          </w:p>
        </w:tc>
      </w:tr>
      <w:tr w14:paraId="62C05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71CF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E</w:t>
            </w:r>
          </w:p>
        </w:tc>
        <w:tc>
          <w:tcPr>
            <w:tcW w:w="12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ADE2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差</w:t>
            </w:r>
          </w:p>
        </w:tc>
        <w:tc>
          <w:tcPr>
            <w:tcW w:w="175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76098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[0，300]</w:t>
            </w:r>
          </w:p>
        </w:tc>
        <w:tc>
          <w:tcPr>
            <w:tcW w:w="41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199A2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表示在一定期限内，存在较大信用风险</w:t>
            </w:r>
          </w:p>
        </w:tc>
      </w:tr>
    </w:tbl>
    <w:p w14:paraId="44AB4D9D">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p>
    <w:p w14:paraId="6FCAD16D">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第九条【结果认领】</w:t>
      </w:r>
      <w:r>
        <w:rPr>
          <w:rFonts w:hint="eastAsia" w:ascii="仿宋_GB2312" w:hAnsi="仿宋" w:eastAsia="仿宋_GB2312"/>
          <w:color w:val="000000"/>
          <w:sz w:val="32"/>
          <w:szCs w:val="32"/>
          <w:highlight w:val="none"/>
          <w:lang w:eastAsia="zh-CN"/>
        </w:rPr>
        <w:t>信用评价结果形成后，由市、县文化和旅游部门组织</w:t>
      </w:r>
      <w:r>
        <w:rPr>
          <w:rFonts w:hint="eastAsia" w:ascii="仿宋_GB2312" w:hAnsi="仿宋" w:eastAsia="仿宋_GB2312"/>
          <w:color w:val="000000"/>
          <w:sz w:val="32"/>
          <w:szCs w:val="32"/>
          <w:highlight w:val="none"/>
          <w:lang w:val="en-US" w:eastAsia="zh-CN"/>
        </w:rPr>
        <w:t>互联网上网服务营业场所</w:t>
      </w:r>
      <w:r>
        <w:rPr>
          <w:rFonts w:hint="eastAsia" w:ascii="仿宋_GB2312" w:hAnsi="仿宋" w:eastAsia="仿宋_GB2312"/>
          <w:color w:val="000000"/>
          <w:sz w:val="32"/>
          <w:szCs w:val="32"/>
          <w:highlight w:val="none"/>
          <w:lang w:eastAsia="zh-CN"/>
        </w:rPr>
        <w:t>对结果进行认领，无正当理由不认领或超期认领的，按原评价结果对外公布。</w:t>
      </w:r>
    </w:p>
    <w:p w14:paraId="13899DF6">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第十条【异议处理】</w:t>
      </w:r>
      <w:r>
        <w:rPr>
          <w:rFonts w:hint="eastAsia" w:ascii="仿宋_GB2312" w:hAnsi="仿宋" w:eastAsia="仿宋_GB2312"/>
          <w:color w:val="000000"/>
          <w:sz w:val="32"/>
          <w:szCs w:val="32"/>
          <w:highlight w:val="none"/>
          <w:lang w:eastAsia="zh-CN"/>
        </w:rPr>
        <w:t>互联网上网服务营业场所对信用评价结果有异议的，可在</w:t>
      </w:r>
      <w:r>
        <w:rPr>
          <w:rFonts w:hint="eastAsia" w:ascii="仿宋_GB2312" w:hAnsi="仿宋" w:eastAsia="仿宋_GB2312"/>
          <w:color w:val="000000"/>
          <w:sz w:val="32"/>
          <w:szCs w:val="32"/>
          <w:highlight w:val="none"/>
          <w:lang w:val="en-US" w:eastAsia="zh-CN"/>
        </w:rPr>
        <w:t>接</w:t>
      </w:r>
      <w:r>
        <w:rPr>
          <w:rFonts w:hint="eastAsia" w:ascii="仿宋_GB2312" w:hAnsi="仿宋" w:eastAsia="仿宋_GB2312"/>
          <w:color w:val="000000"/>
          <w:sz w:val="32"/>
          <w:szCs w:val="32"/>
          <w:highlight w:val="none"/>
          <w:lang w:eastAsia="zh-CN"/>
        </w:rPr>
        <w:t>到认领通知15个工作日内通过河北省文化和旅游行业信用信息网提出异议处理申请。文化和旅游主管部门应当自收到异议申请之日起10个工作日内进行核实并出具审核意见；省级文化和旅游主管部门依据相关规定，于5个工作日内出具最终复核意见。</w:t>
      </w:r>
    </w:p>
    <w:p w14:paraId="574B3A05">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第十一条【结果公布】</w:t>
      </w:r>
      <w:r>
        <w:rPr>
          <w:rFonts w:hint="eastAsia" w:ascii="仿宋_GB2312" w:hAnsi="仿宋" w:eastAsia="仿宋_GB2312"/>
          <w:color w:val="000000"/>
          <w:sz w:val="32"/>
          <w:szCs w:val="32"/>
          <w:highlight w:val="none"/>
          <w:lang w:eastAsia="zh-CN"/>
        </w:rPr>
        <w:t>对信用评价结果无异议的，或者按照规定流程完成异议处理的，信用评价结果通过河北省文化和旅游行业信用信息网对外公布，并向</w:t>
      </w:r>
      <w:r>
        <w:rPr>
          <w:rFonts w:hint="eastAsia" w:ascii="仿宋_GB2312" w:hAnsi="仿宋" w:eastAsia="仿宋_GB2312"/>
          <w:color w:val="000000"/>
          <w:sz w:val="32"/>
          <w:szCs w:val="32"/>
          <w:highlight w:val="none"/>
          <w:lang w:val="en-US" w:eastAsia="zh-CN"/>
        </w:rPr>
        <w:t>互联网上网服务营业场所经营单位</w:t>
      </w:r>
      <w:r>
        <w:rPr>
          <w:rFonts w:hint="eastAsia" w:ascii="仿宋_GB2312" w:hAnsi="仿宋" w:eastAsia="仿宋_GB2312"/>
          <w:color w:val="000000"/>
          <w:sz w:val="32"/>
          <w:szCs w:val="32"/>
          <w:highlight w:val="none"/>
          <w:lang w:eastAsia="zh-CN"/>
        </w:rPr>
        <w:t>及</w:t>
      </w:r>
      <w:r>
        <w:rPr>
          <w:rFonts w:hint="eastAsia" w:ascii="仿宋_GB2312" w:hAnsi="仿宋" w:eastAsia="仿宋_GB2312"/>
          <w:color w:val="000000"/>
          <w:sz w:val="32"/>
          <w:szCs w:val="32"/>
          <w:highlight w:val="none"/>
          <w:lang w:val="en-US" w:eastAsia="zh-CN"/>
        </w:rPr>
        <w:t>公众</w:t>
      </w:r>
      <w:r>
        <w:rPr>
          <w:rFonts w:hint="eastAsia" w:ascii="仿宋_GB2312" w:hAnsi="仿宋" w:eastAsia="仿宋_GB2312"/>
          <w:color w:val="000000"/>
          <w:sz w:val="32"/>
          <w:szCs w:val="32"/>
          <w:highlight w:val="none"/>
          <w:lang w:eastAsia="zh-CN"/>
        </w:rPr>
        <w:t>提供查询服务。</w:t>
      </w:r>
    </w:p>
    <w:p w14:paraId="353F7EAF">
      <w:pPr>
        <w:pStyle w:val="7"/>
        <w:keepNext w:val="0"/>
        <w:keepLines w:val="0"/>
        <w:pageBreakBefore w:val="0"/>
        <w:widowControl/>
        <w:numPr>
          <w:ilvl w:val="0"/>
          <w:numId w:val="2"/>
        </w:numPr>
        <w:kinsoku/>
        <w:wordWrap/>
        <w:overflowPunct/>
        <w:topLinePunct w:val="0"/>
        <w:autoSpaceDE/>
        <w:autoSpaceDN/>
        <w:bidi w:val="0"/>
        <w:adjustRightInd/>
        <w:snapToGrid/>
        <w:spacing w:before="313" w:beforeLines="100" w:after="313" w:afterLines="100" w:line="6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lang w:val="en-US" w:eastAsia="zh-CN"/>
        </w:rPr>
        <w:t>分级分类监管及社会化应用</w:t>
      </w:r>
    </w:p>
    <w:p w14:paraId="3AD3023F">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第十二条【分级分类监管】</w:t>
      </w:r>
      <w:r>
        <w:rPr>
          <w:rFonts w:hint="eastAsia" w:ascii="仿宋_GB2312" w:hAnsi="仿宋" w:eastAsia="仿宋_GB2312"/>
          <w:color w:val="000000"/>
          <w:sz w:val="32"/>
          <w:szCs w:val="32"/>
          <w:highlight w:val="none"/>
          <w:lang w:eastAsia="zh-CN"/>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14:paraId="153D842E">
      <w:pPr>
        <w:pStyle w:val="7"/>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highlight w:val="none"/>
          <w:lang w:eastAsia="zh-CN"/>
        </w:rPr>
      </w:pPr>
      <w:r>
        <w:rPr>
          <w:rFonts w:hint="eastAsia" w:ascii="黑体" w:hAnsi="黑体" w:eastAsia="黑体" w:cs="黑体"/>
          <w:color w:val="000000"/>
          <w:sz w:val="32"/>
          <w:szCs w:val="32"/>
          <w:lang w:eastAsia="zh-CN"/>
        </w:rPr>
        <w:t>第十三条【社会化应用】</w:t>
      </w:r>
      <w:r>
        <w:rPr>
          <w:rFonts w:hint="eastAsia" w:ascii="仿宋_GB2312" w:hAnsi="仿宋" w:eastAsia="仿宋_GB2312"/>
          <w:color w:val="000000"/>
          <w:sz w:val="32"/>
          <w:szCs w:val="32"/>
          <w:highlight w:val="none"/>
          <w:lang w:eastAsia="zh-CN"/>
        </w:rPr>
        <w:t>在保障评价对象权益基础上，各级文化和旅游主管部门加强与各类社会机构合作，推进行业信用评价结果在“信</w:t>
      </w:r>
      <w:r>
        <w:rPr>
          <w:rFonts w:hint="eastAsia" w:ascii="仿宋_GB2312" w:hAnsi="仿宋" w:eastAsia="仿宋_GB2312"/>
          <w:color w:val="000000"/>
          <w:sz w:val="32"/>
          <w:szCs w:val="32"/>
          <w:highlight w:val="none"/>
          <w:lang w:val="en-US" w:eastAsia="zh-CN"/>
        </w:rPr>
        <w:t>用</w:t>
      </w:r>
      <w:r>
        <w:rPr>
          <w:rFonts w:hint="eastAsia" w:ascii="仿宋_GB2312" w:hAnsi="仿宋" w:eastAsia="仿宋_GB2312"/>
          <w:color w:val="000000"/>
          <w:sz w:val="32"/>
          <w:szCs w:val="32"/>
          <w:highlight w:val="none"/>
          <w:lang w:eastAsia="zh-CN"/>
        </w:rPr>
        <w:t>+”便企惠民活动中的应用，不断建立健全行业信用评价结果的社会化应用机制。</w:t>
      </w:r>
    </w:p>
    <w:p w14:paraId="46C54CBF">
      <w:pPr>
        <w:pStyle w:val="7"/>
        <w:keepNext w:val="0"/>
        <w:keepLines w:val="0"/>
        <w:pageBreakBefore w:val="0"/>
        <w:widowControl/>
        <w:numPr>
          <w:ilvl w:val="0"/>
          <w:numId w:val="2"/>
        </w:numPr>
        <w:kinsoku/>
        <w:wordWrap/>
        <w:overflowPunct/>
        <w:topLinePunct w:val="0"/>
        <w:autoSpaceDE/>
        <w:autoSpaceDN/>
        <w:bidi w:val="0"/>
        <w:adjustRightInd/>
        <w:snapToGrid/>
        <w:spacing w:before="313" w:beforeLines="100" w:after="313" w:afterLines="100" w:line="6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lang w:val="en-US" w:eastAsia="zh-CN"/>
        </w:rPr>
        <w:t>附 则</w:t>
      </w:r>
    </w:p>
    <w:p w14:paraId="38D156B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 w:eastAsia="仿宋_GB2312" w:cs="宋体"/>
          <w:color w:val="000000"/>
          <w:kern w:val="0"/>
          <w:sz w:val="32"/>
          <w:szCs w:val="32"/>
          <w:highlight w:val="none"/>
          <w:lang w:val="en-US" w:eastAsia="zh-CN" w:bidi="ar-SA"/>
        </w:rPr>
      </w:pPr>
      <w:r>
        <w:rPr>
          <w:rFonts w:hint="eastAsia" w:ascii="黑体" w:hAnsi="黑体" w:eastAsia="黑体" w:cs="黑体"/>
          <w:color w:val="000000"/>
          <w:kern w:val="0"/>
          <w:sz w:val="32"/>
          <w:szCs w:val="32"/>
          <w:lang w:val="en-US" w:eastAsia="zh-CN" w:bidi="ar-SA"/>
        </w:rPr>
        <w:t>第十四条【施行日期】</w:t>
      </w:r>
      <w:r>
        <w:rPr>
          <w:rFonts w:hint="eastAsia" w:ascii="仿宋_GB2312" w:hAnsi="仿宋" w:eastAsia="仿宋_GB2312" w:cs="宋体"/>
          <w:color w:val="000000"/>
          <w:kern w:val="0"/>
          <w:sz w:val="32"/>
          <w:szCs w:val="32"/>
          <w:highlight w:val="none"/>
          <w:lang w:val="en-US" w:eastAsia="zh-CN" w:bidi="ar-SA"/>
        </w:rPr>
        <w:t>本实施细则自2025年XX月XX日起施行。</w:t>
      </w:r>
    </w:p>
    <w:p w14:paraId="366268B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 w:eastAsia="仿宋_GB2312" w:cs="宋体"/>
          <w:color w:val="000000"/>
          <w:kern w:val="0"/>
          <w:sz w:val="32"/>
          <w:szCs w:val="32"/>
          <w:highlight w:val="none"/>
          <w:lang w:val="en-US" w:eastAsia="zh-CN" w:bidi="ar-SA"/>
        </w:rPr>
      </w:pPr>
    </w:p>
    <w:p w14:paraId="38B6F15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 w:eastAsia="仿宋_GB2312" w:cs="宋体"/>
          <w:color w:val="000000"/>
          <w:kern w:val="0"/>
          <w:sz w:val="32"/>
          <w:szCs w:val="32"/>
          <w:highlight w:val="none"/>
          <w:lang w:val="en-US" w:eastAsia="zh-CN" w:bidi="ar-SA"/>
        </w:rPr>
      </w:pPr>
    </w:p>
    <w:p w14:paraId="05B19D6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 w:eastAsia="仿宋_GB2312" w:cs="宋体"/>
          <w:color w:val="000000"/>
          <w:kern w:val="0"/>
          <w:sz w:val="32"/>
          <w:szCs w:val="32"/>
          <w:highlight w:val="none"/>
          <w:lang w:val="en-US" w:eastAsia="zh-CN" w:bidi="ar-SA"/>
        </w:rPr>
      </w:pPr>
      <w:r>
        <w:rPr>
          <w:rFonts w:hint="eastAsia" w:ascii="仿宋_GB2312" w:hAnsi="仿宋" w:eastAsia="仿宋_GB2312" w:cs="宋体"/>
          <w:color w:val="000000"/>
          <w:kern w:val="0"/>
          <w:sz w:val="32"/>
          <w:szCs w:val="32"/>
          <w:highlight w:val="none"/>
          <w:lang w:val="en-US" w:eastAsia="zh-CN" w:bidi="ar-SA"/>
        </w:rPr>
        <w:t>附件：表1 信用等级熔断指标表。</w:t>
      </w:r>
    </w:p>
    <w:p w14:paraId="28D0EFDE">
      <w:pPr>
        <w:ind w:firstLine="1600" w:firstLineChars="500"/>
        <w:rPr>
          <w:rFonts w:hint="eastAsia" w:ascii="仿宋_GB2312" w:hAnsi="仿宋" w:eastAsia="仿宋_GB2312" w:cs="宋体"/>
          <w:color w:val="000000"/>
          <w:kern w:val="0"/>
          <w:sz w:val="32"/>
          <w:szCs w:val="32"/>
          <w:highlight w:val="none"/>
          <w:lang w:val="en-US" w:eastAsia="zh-CN" w:bidi="ar-SA"/>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仿宋_GB2312" w:hAnsi="仿宋" w:eastAsia="仿宋_GB2312" w:cs="宋体"/>
          <w:color w:val="000000"/>
          <w:kern w:val="0"/>
          <w:sz w:val="32"/>
          <w:szCs w:val="32"/>
          <w:highlight w:val="none"/>
          <w:lang w:val="en-US" w:eastAsia="zh-CN" w:bidi="ar-SA"/>
        </w:rPr>
        <w:t>表2 信用评价指标及评分表。</w:t>
      </w:r>
    </w:p>
    <w:p w14:paraId="6336FD22">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附</w:t>
      </w:r>
      <w:r>
        <w:rPr>
          <w:rFonts w:hint="eastAsia" w:ascii="方正小标宋简体" w:hAnsi="方正小标宋简体" w:eastAsia="方正小标宋简体" w:cs="方正小标宋简体"/>
          <w:sz w:val="32"/>
          <w:szCs w:val="32"/>
          <w:lang w:val="en-US" w:eastAsia="zh-CN"/>
        </w:rPr>
        <w:t xml:space="preserve">  </w:t>
      </w:r>
      <w:r>
        <w:rPr>
          <w:rFonts w:hint="eastAsia" w:ascii="方正小标宋简体" w:hAnsi="方正小标宋简体" w:eastAsia="方正小标宋简体" w:cs="方正小标宋简体"/>
          <w:sz w:val="32"/>
          <w:szCs w:val="32"/>
        </w:rPr>
        <w:t>录</w:t>
      </w:r>
    </w:p>
    <w:p w14:paraId="182F899C">
      <w:pPr>
        <w:rPr>
          <w:rFonts w:hint="eastAsia"/>
        </w:rPr>
      </w:pPr>
    </w:p>
    <w:p w14:paraId="2212605A">
      <w:pPr>
        <w:pStyle w:val="10"/>
        <w:keepNext w:val="0"/>
        <w:keepLines w:val="0"/>
        <w:pageBreakBefore w:val="0"/>
        <w:widowControl/>
        <w:numPr>
          <w:ilvl w:val="1"/>
          <w:numId w:val="0"/>
        </w:numPr>
        <w:kinsoku/>
        <w:wordWrap/>
        <w:overflowPunct/>
        <w:topLinePunct w:val="0"/>
        <w:autoSpaceDE/>
        <w:autoSpaceDN/>
        <w:bidi w:val="0"/>
        <w:adjustRightInd w:val="0"/>
        <w:snapToGrid w:val="0"/>
        <w:spacing w:beforeLines="0" w:afterLines="0" w:line="600" w:lineRule="exact"/>
        <w:textAlignment w:val="baseline"/>
        <w:rPr>
          <w:rFonts w:hint="eastAsia"/>
          <w:sz w:val="28"/>
          <w:szCs w:val="24"/>
        </w:rPr>
      </w:pPr>
      <w:r>
        <w:rPr>
          <w:rFonts w:hint="eastAsia"/>
          <w:sz w:val="28"/>
          <w:szCs w:val="24"/>
        </w:rPr>
        <w:t>表1</w:t>
      </w:r>
      <w:r>
        <w:rPr>
          <w:rFonts w:hint="eastAsia"/>
          <w:sz w:val="28"/>
          <w:szCs w:val="24"/>
          <w:lang w:val="en-US" w:eastAsia="zh-CN"/>
        </w:rPr>
        <w:t xml:space="preserve"> </w:t>
      </w:r>
      <w:r>
        <w:rPr>
          <w:rFonts w:hint="eastAsia"/>
          <w:sz w:val="28"/>
          <w:szCs w:val="24"/>
        </w:rPr>
        <w:t xml:space="preserve"> </w:t>
      </w:r>
      <w:r>
        <w:rPr>
          <w:rFonts w:hint="eastAsia"/>
          <w:sz w:val="28"/>
          <w:szCs w:val="24"/>
          <w:lang w:val="en-US" w:eastAsia="zh-CN"/>
        </w:rPr>
        <w:t>信用</w:t>
      </w:r>
      <w:r>
        <w:rPr>
          <w:rFonts w:hint="eastAsia"/>
          <w:sz w:val="28"/>
          <w:szCs w:val="24"/>
        </w:rPr>
        <w:t>等级熔断指标表</w:t>
      </w:r>
    </w:p>
    <w:tbl>
      <w:tblPr>
        <w:tblStyle w:val="8"/>
        <w:tblW w:w="1395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1"/>
        <w:gridCol w:w="9993"/>
        <w:gridCol w:w="2520"/>
      </w:tblGrid>
      <w:tr w14:paraId="63B9B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144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60F8327">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999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1946682">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信用等级熔断指标项</w:t>
            </w:r>
          </w:p>
        </w:tc>
        <w:tc>
          <w:tcPr>
            <w:tcW w:w="2520"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1B4779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等级</w:t>
            </w:r>
          </w:p>
        </w:tc>
      </w:tr>
      <w:tr w14:paraId="59ED2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1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51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互联网上网服务营业场所经营单位被行业主管部门认定为严重失信主体的。</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FB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14:paraId="037AC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BB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CA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互联网上网服务营业场所经营单位利用互联网上网服务营业场所制作、下载、复制、查阅、发布、传播或者以其他方式使用含有下列内容的信息：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(一)反对宪法确定的基本原则的；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(二)危害国家统一、主权和领土完整的；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(三)泄露国家秘密，危害国家安全或者损害国家荣誉和利益的；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(四)煽动民族仇恨、民族歧视，破坏民族团结，或者侵害民族风俗、习惯的；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(五)破坏国家宗教政策，宣扬邪教、迷信的；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(六)散布谣言，扰乱社会秩序，破坏社会稳定的；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(七)宣传淫秽、赌博、暴力或者教唆犯罪的；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(八)侮辱或者诽谤他人，侵害他人合法权益的；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(九)危害社会公德或者民族优秀文化传统的；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(十)含有法律、行政法规禁止的其他内容的。</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5F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14:paraId="7125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8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1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互联网上网服务营业场所经营单位存在故意制作或者传播计算机病毒以及其他破坏性程序，非法侵入计算机信息系统或者破坏计算机信息系统功能、数据和应用程序，进行法律、行政法规禁止的其他活动等情形。</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2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14:paraId="127C2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6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C460A">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近一年，发生重大负面舆情、群体性投诉，造成严重社会影响且互联网上网服务营业场所经营单位负有主要责任。</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2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14:paraId="00E55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5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FE5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近一年，互联网上网服务营业场所经营单位发生特别重大、重大生产安全责任事故并且互联网上网服务营业场所经营单位负有主要责任的。</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E4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14:paraId="2C47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AC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0F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在各类安全生产检查中，互联网上网服务营业场所经营单位拒不履行监管部门提出的“纠正、要求限期改正或责令立即排除隐患”等监督检查要求的。</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0C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bl>
    <w:p w14:paraId="6DAF1C4F">
      <w:pPr>
        <w:bidi w:val="0"/>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006B7A9">
      <w:pPr>
        <w:pStyle w:val="10"/>
        <w:keepNext w:val="0"/>
        <w:keepLines w:val="0"/>
        <w:pageBreakBefore w:val="0"/>
        <w:widowControl/>
        <w:numPr>
          <w:ilvl w:val="1"/>
          <w:numId w:val="0"/>
        </w:numPr>
        <w:kinsoku/>
        <w:wordWrap/>
        <w:overflowPunct/>
        <w:topLinePunct w:val="0"/>
        <w:autoSpaceDE/>
        <w:autoSpaceDN/>
        <w:bidi w:val="0"/>
        <w:adjustRightInd w:val="0"/>
        <w:snapToGrid w:val="0"/>
        <w:spacing w:beforeLines="0" w:afterLines="0" w:line="600" w:lineRule="exact"/>
        <w:textAlignment w:val="baseline"/>
        <w:rPr>
          <w:rFonts w:hint="eastAsia"/>
          <w:sz w:val="28"/>
          <w:szCs w:val="24"/>
        </w:rPr>
      </w:pPr>
      <w:r>
        <w:rPr>
          <w:rFonts w:hint="eastAsia"/>
          <w:sz w:val="28"/>
          <w:szCs w:val="24"/>
        </w:rPr>
        <w:t xml:space="preserve">表2 </w:t>
      </w:r>
      <w:r>
        <w:rPr>
          <w:rFonts w:hint="eastAsia"/>
          <w:sz w:val="28"/>
          <w:szCs w:val="24"/>
          <w:lang w:val="en-US" w:eastAsia="zh-CN"/>
        </w:rPr>
        <w:t xml:space="preserve"> </w:t>
      </w:r>
      <w:r>
        <w:rPr>
          <w:rFonts w:hint="eastAsia"/>
          <w:sz w:val="28"/>
          <w:szCs w:val="24"/>
        </w:rPr>
        <w:t>信用评价指标及评分表</w:t>
      </w:r>
    </w:p>
    <w:tbl>
      <w:tblPr>
        <w:tblStyle w:val="8"/>
        <w:tblW w:w="139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3"/>
        <w:gridCol w:w="667"/>
        <w:gridCol w:w="1026"/>
        <w:gridCol w:w="665"/>
        <w:gridCol w:w="1069"/>
        <w:gridCol w:w="731"/>
        <w:gridCol w:w="1080"/>
        <w:gridCol w:w="7266"/>
        <w:gridCol w:w="774"/>
      </w:tblGrid>
      <w:tr w14:paraId="4A84B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2449675">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667"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7C4BE0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一级指标</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DBA9392">
            <w:pPr>
              <w:keepNext w:val="0"/>
              <w:keepLines w:val="0"/>
              <w:widowControl/>
              <w:suppressLineNumbers w:val="0"/>
              <w:jc w:val="center"/>
              <w:textAlignment w:val="center"/>
              <w:rPr>
                <w:rFonts w:hint="eastAsia" w:ascii="黑体" w:hAnsi="宋体" w:eastAsia="黑体" w:cs="黑体"/>
                <w:i w:val="0"/>
                <w:iCs w:val="0"/>
                <w:color w:val="000000"/>
                <w:kern w:val="0"/>
                <w:sz w:val="20"/>
                <w:szCs w:val="20"/>
                <w:u w:val="none"/>
                <w:lang w:val="en-US" w:eastAsia="zh-CN" w:bidi="ar"/>
              </w:rPr>
            </w:pPr>
            <w:r>
              <w:rPr>
                <w:rFonts w:hint="eastAsia" w:ascii="黑体" w:hAnsi="宋体" w:eastAsia="黑体" w:cs="黑体"/>
                <w:i w:val="0"/>
                <w:iCs w:val="0"/>
                <w:color w:val="000000"/>
                <w:kern w:val="0"/>
                <w:sz w:val="20"/>
                <w:szCs w:val="20"/>
                <w:u w:val="none"/>
                <w:lang w:val="en-US" w:eastAsia="zh-CN" w:bidi="ar"/>
              </w:rPr>
              <w:t>一级指标</w:t>
            </w:r>
          </w:p>
          <w:p w14:paraId="4C1A67B7">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分数</w:t>
            </w:r>
          </w:p>
        </w:tc>
        <w:tc>
          <w:tcPr>
            <w:tcW w:w="665"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98FDF3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二级指标</w:t>
            </w:r>
          </w:p>
        </w:tc>
        <w:tc>
          <w:tcPr>
            <w:tcW w:w="1069" w:type="dxa"/>
            <w:tcBorders>
              <w:top w:val="single" w:color="000000" w:sz="4" w:space="0"/>
              <w:left w:val="single" w:color="000000" w:sz="4" w:space="0"/>
              <w:right w:val="single" w:color="000000" w:sz="4" w:space="0"/>
            </w:tcBorders>
            <w:shd w:val="clear" w:color="auto" w:fill="F2F2F2"/>
            <w:vAlign w:val="center"/>
          </w:tcPr>
          <w:p w14:paraId="46EE854D">
            <w:pPr>
              <w:keepNext w:val="0"/>
              <w:keepLines w:val="0"/>
              <w:widowControl/>
              <w:suppressLineNumbers w:val="0"/>
              <w:jc w:val="center"/>
              <w:textAlignment w:val="center"/>
              <w:rPr>
                <w:rFonts w:hint="eastAsia" w:ascii="黑体" w:hAnsi="宋体" w:eastAsia="黑体" w:cs="黑体"/>
                <w:i w:val="0"/>
                <w:iCs w:val="0"/>
                <w:color w:val="000000"/>
                <w:kern w:val="0"/>
                <w:sz w:val="20"/>
                <w:szCs w:val="20"/>
                <w:u w:val="none"/>
                <w:lang w:val="en-US" w:eastAsia="zh-CN" w:bidi="ar"/>
              </w:rPr>
            </w:pPr>
            <w:r>
              <w:rPr>
                <w:rFonts w:hint="eastAsia" w:ascii="黑体" w:hAnsi="宋体" w:eastAsia="黑体" w:cs="黑体"/>
                <w:i w:val="0"/>
                <w:iCs w:val="0"/>
                <w:color w:val="000000"/>
                <w:kern w:val="0"/>
                <w:sz w:val="20"/>
                <w:szCs w:val="20"/>
                <w:u w:val="none"/>
                <w:lang w:val="en-US" w:eastAsia="zh-CN" w:bidi="ar"/>
              </w:rPr>
              <w:t>二级指标</w:t>
            </w:r>
          </w:p>
          <w:p w14:paraId="04565CE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分数</w:t>
            </w:r>
          </w:p>
        </w:tc>
        <w:tc>
          <w:tcPr>
            <w:tcW w:w="73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B3E2C8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三级指标</w:t>
            </w:r>
          </w:p>
        </w:tc>
        <w:tc>
          <w:tcPr>
            <w:tcW w:w="1080" w:type="dxa"/>
            <w:tcBorders>
              <w:top w:val="single" w:color="000000" w:sz="4" w:space="0"/>
              <w:left w:val="single" w:color="000000" w:sz="4" w:space="0"/>
              <w:right w:val="single" w:color="000000" w:sz="4" w:space="0"/>
            </w:tcBorders>
            <w:shd w:val="clear" w:color="auto" w:fill="F2F2F2"/>
            <w:vAlign w:val="center"/>
          </w:tcPr>
          <w:p w14:paraId="7E8EC6DA">
            <w:pPr>
              <w:keepNext w:val="0"/>
              <w:keepLines w:val="0"/>
              <w:widowControl/>
              <w:suppressLineNumbers w:val="0"/>
              <w:jc w:val="center"/>
              <w:textAlignment w:val="center"/>
              <w:rPr>
                <w:rFonts w:hint="eastAsia" w:ascii="黑体" w:hAnsi="宋体" w:eastAsia="黑体" w:cs="黑体"/>
                <w:i w:val="0"/>
                <w:iCs w:val="0"/>
                <w:color w:val="000000"/>
                <w:kern w:val="0"/>
                <w:sz w:val="20"/>
                <w:szCs w:val="20"/>
                <w:u w:val="none"/>
                <w:lang w:val="en-US" w:eastAsia="zh-CN" w:bidi="ar"/>
              </w:rPr>
            </w:pPr>
            <w:r>
              <w:rPr>
                <w:rFonts w:hint="eastAsia" w:ascii="黑体" w:hAnsi="宋体" w:eastAsia="黑体" w:cs="黑体"/>
                <w:i w:val="0"/>
                <w:iCs w:val="0"/>
                <w:color w:val="000000"/>
                <w:kern w:val="0"/>
                <w:sz w:val="20"/>
                <w:szCs w:val="20"/>
                <w:u w:val="none"/>
                <w:lang w:val="en-US" w:eastAsia="zh-CN" w:bidi="ar"/>
              </w:rPr>
              <w:t>三级指标</w:t>
            </w:r>
          </w:p>
          <w:p w14:paraId="451E817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分数</w:t>
            </w:r>
          </w:p>
        </w:tc>
        <w:tc>
          <w:tcPr>
            <w:tcW w:w="726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4368AA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得分指标说明及评分</w:t>
            </w:r>
          </w:p>
        </w:tc>
        <w:tc>
          <w:tcPr>
            <w:tcW w:w="774"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21435E6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每项得分</w:t>
            </w:r>
          </w:p>
        </w:tc>
      </w:tr>
      <w:tr w14:paraId="28C20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21B89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199AD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日常经营</w:t>
            </w:r>
          </w:p>
        </w:tc>
        <w:tc>
          <w:tcPr>
            <w:tcW w:w="10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562AA8">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350</w:t>
            </w: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19E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经营规模</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2BB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15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经营年限</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AD9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2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经营年限≥10年</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2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5420D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029C4">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2FE27">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1BFD7">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89F8E">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A6574">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AD1D6">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133B6">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27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5年≤经营年限＜10年</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C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12C40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44F5C">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460AB">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F094D">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8EC7C">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76B93">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E8FE3">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C836A">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6C5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经营年限＜5年</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6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D9AA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381AE">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C3160">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33128">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64793">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E3081">
            <w:pPr>
              <w:jc w:val="center"/>
              <w:rPr>
                <w:rFonts w:hint="eastAsia" w:ascii="宋体" w:hAnsi="宋体" w:eastAsia="宋体" w:cs="宋体"/>
                <w:i w:val="0"/>
                <w:iCs w:val="0"/>
                <w:color w:val="000000"/>
                <w:sz w:val="20"/>
                <w:szCs w:val="20"/>
                <w:u w:val="none"/>
              </w:rPr>
            </w:pP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906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机位数量</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34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5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提供的服务机位数量≥200个</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C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7BECA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D65B1">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65EFE">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47AB8">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EE1DA">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14BEB">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F173C">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7EF4C">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2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100个≤提供的服务机位数量＜200个</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87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21CE5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633BB">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90FCF">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B153C">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8451">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A1D05">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EB965">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FA090">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00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提供的服务机位数量＜100个</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B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BD86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D9F4F">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7A537">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01860">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38D11">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BBCF0">
            <w:pPr>
              <w:jc w:val="center"/>
              <w:rPr>
                <w:rFonts w:hint="eastAsia" w:ascii="宋体" w:hAnsi="宋体" w:eastAsia="宋体" w:cs="宋体"/>
                <w:i w:val="0"/>
                <w:iCs w:val="0"/>
                <w:color w:val="000000"/>
                <w:sz w:val="20"/>
                <w:szCs w:val="20"/>
                <w:u w:val="none"/>
              </w:rPr>
            </w:pP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42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营业面积</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6D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8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经营场所面积≥1000平方米</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0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FC2B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4E72">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A66E9">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031A1">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892E1">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42C2C">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47C0">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58AB">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E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500平方米≤经营场所面积＜1000平方米</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A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09E23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853E6">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AFFC9">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024F1">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49F6C">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EDB23">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19A1">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7E37">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B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经营场所面积＜500平方米</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1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44418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4E27B">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C2492">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0899E">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A40DF">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D9AF7">
            <w:pPr>
              <w:jc w:val="center"/>
              <w:rPr>
                <w:rFonts w:hint="eastAsia" w:ascii="宋体" w:hAnsi="宋体" w:eastAsia="宋体" w:cs="宋体"/>
                <w:i w:val="0"/>
                <w:iCs w:val="0"/>
                <w:color w:val="000000"/>
                <w:sz w:val="20"/>
                <w:szCs w:val="20"/>
                <w:u w:val="none"/>
              </w:rPr>
            </w:pP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63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员工人数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AF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9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员工人数≥1</w:t>
            </w:r>
            <w:r>
              <w:rPr>
                <w:rFonts w:hint="eastAsia"/>
                <w:lang w:val="en-US" w:eastAsia="zh-CN"/>
              </w:rPr>
              <w:t>0人</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3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606AD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EA391">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5BE30">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4E079">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22BE1">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995A1">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AEDC">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7E27">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3979">
            <w:pPr>
              <w:pStyle w:val="3"/>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5人≤员工人数＜10人</w:t>
            </w:r>
          </w:p>
          <w:p w14:paraId="5328B42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A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79FA8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0DBA8">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42217">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84DCE">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AE1A6">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D7E43">
            <w:pPr>
              <w:jc w:val="center"/>
              <w:rPr>
                <w:rFonts w:hint="eastAsia" w:ascii="宋体" w:hAnsi="宋体" w:eastAsia="宋体" w:cs="宋体"/>
                <w:i w:val="0"/>
                <w:iCs w:val="0"/>
                <w:color w:val="000000"/>
                <w:sz w:val="20"/>
                <w:szCs w:val="20"/>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B962">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62626">
            <w:pPr>
              <w:jc w:val="center"/>
              <w:rPr>
                <w:rFonts w:hint="eastAsia" w:ascii="宋体" w:hAnsi="宋体" w:eastAsia="宋体" w:cs="宋体"/>
                <w:i w:val="0"/>
                <w:iCs w:val="0"/>
                <w:color w:val="000000"/>
                <w:sz w:val="20"/>
                <w:szCs w:val="20"/>
                <w:u w:val="none"/>
              </w:rPr>
            </w:pP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F4470">
            <w:pPr>
              <w:pStyle w:val="3"/>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员工人数＜5人</w:t>
            </w:r>
          </w:p>
          <w:p w14:paraId="427740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B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544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A9342">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6841B">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4104F">
            <w:pPr>
              <w:jc w:val="center"/>
              <w:rPr>
                <w:rFonts w:hint="eastAsia" w:ascii="黑体" w:hAnsi="宋体" w:eastAsia="黑体" w:cs="黑体"/>
                <w:i w:val="0"/>
                <w:iCs w:val="0"/>
                <w:color w:val="000000"/>
                <w:sz w:val="20"/>
                <w:szCs w:val="20"/>
                <w:u w:val="none"/>
              </w:rPr>
            </w:pP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8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经营状态</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2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8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经营异常</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2E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3F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互联网上网服务营业场所经营单位未被列入企业经营异常名录，或列入后已移除的。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6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r>
      <w:tr w14:paraId="2E518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17207">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C658A">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45E40">
            <w:pPr>
              <w:jc w:val="center"/>
              <w:rPr>
                <w:rFonts w:hint="eastAsia" w:ascii="黑体" w:hAnsi="宋体" w:eastAsia="黑体" w:cs="黑体"/>
                <w:i w:val="0"/>
                <w:iCs w:val="0"/>
                <w:color w:val="000000"/>
                <w:sz w:val="20"/>
                <w:szCs w:val="20"/>
                <w:u w:val="none"/>
              </w:rPr>
            </w:pP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17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履约履诺</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E5F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5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合同履约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3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E9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近一年，互联网上网服务营业场所经营单位未有因债务违约、拖欠服务费、损害员工权益、合同欺诈等法院判决、劳动仲裁记录的。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1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04F0A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A5C90">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23DDE">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7BE1E">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E0718">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5DFA8">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B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履诺信息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3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4814">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w:t>
            </w:r>
            <w:r>
              <w:rPr>
                <w:rFonts w:hint="eastAsia"/>
                <w:lang w:eastAsia="zh-CN"/>
              </w:rPr>
              <w:t>不存在</w:t>
            </w:r>
            <w:bookmarkStart w:id="0" w:name="_GoBack"/>
            <w:bookmarkEnd w:id="0"/>
            <w:r>
              <w:rPr>
                <w:rFonts w:hint="eastAsia" w:ascii="宋体" w:hAnsi="宋体" w:eastAsia="宋体" w:cs="宋体"/>
                <w:i w:val="0"/>
                <w:iCs w:val="0"/>
                <w:color w:val="000000"/>
                <w:kern w:val="0"/>
                <w:sz w:val="20"/>
                <w:szCs w:val="20"/>
                <w:u w:val="none"/>
                <w:lang w:val="en-US" w:eastAsia="zh-CN" w:bidi="ar"/>
              </w:rPr>
              <w:t>行政审批事项中信用承诺违诺情况，或违诺后已完成信用修复的。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4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245C0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D9378">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CC509">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FC451">
            <w:pPr>
              <w:jc w:val="center"/>
              <w:rPr>
                <w:rFonts w:hint="eastAsia" w:ascii="黑体" w:hAnsi="宋体" w:eastAsia="黑体" w:cs="黑体"/>
                <w:i w:val="0"/>
                <w:iCs w:val="0"/>
                <w:color w:val="000000"/>
                <w:sz w:val="20"/>
                <w:szCs w:val="20"/>
                <w:u w:val="none"/>
              </w:rPr>
            </w:pP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ED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合规经营</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D8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0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证照明示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3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F5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互联网上网服务营业场所经营单位按规定在营业场所的显著位置悬挂《网络文化经营许可证》和营业执照的。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4F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24E97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DAA9D">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2E702">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0CA34">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275F3">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51F58">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1B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禁入明示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7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4C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互联网上网服务营业场所经营单位按规定在营业场所入口处的显著位置悬挂未成年人禁入标志的。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8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77AA6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DA227">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18DF6">
            <w:pPr>
              <w:jc w:val="center"/>
              <w:rPr>
                <w:rFonts w:hint="eastAsia" w:ascii="黑体" w:hAnsi="宋体" w:eastAsia="黑体" w:cs="黑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3CB88">
            <w:pPr>
              <w:jc w:val="center"/>
              <w:rPr>
                <w:rFonts w:hint="eastAsia" w:ascii="黑体" w:hAnsi="宋体" w:eastAsia="黑体" w:cs="黑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EC52D">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D95A1">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44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合规登记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6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BC2F">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互联网上网服务营业场所经营单位按规定对上网消费者的身份证等有效证件进行核对、登记，并记录有关上网信息，登记内容和记录备份保存时间不得少于60日的。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9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42490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48153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138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行业管理</w:t>
            </w:r>
          </w:p>
        </w:tc>
        <w:tc>
          <w:tcPr>
            <w:tcW w:w="10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55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59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行业自律</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3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3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行业自律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E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1E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互联网上网服务营业场所经营单位签订行业自律公约或为相关行业协会成员的。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1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085B6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19722">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58A21">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F9C51">
            <w:pPr>
              <w:jc w:val="center"/>
              <w:rPr>
                <w:rFonts w:hint="eastAsia" w:ascii="宋体" w:hAnsi="宋体" w:eastAsia="宋体" w:cs="宋体"/>
                <w:i w:val="0"/>
                <w:iCs w:val="0"/>
                <w:color w:val="000000"/>
                <w:sz w:val="20"/>
                <w:szCs w:val="20"/>
                <w:u w:val="none"/>
              </w:rPr>
            </w:pP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D57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行政监管</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38E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1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信息报送</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9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A8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近一年，互联网上网服务营业场所经营单位能按照行业管理部门要求，积极、准确、完整报送信息的。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A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54335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BBD28">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29F2F">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BCB93">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08770">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088AE">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D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无行政处罚</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3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CE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近三年，互联网上网服务营业场所经营单位无行政处罚行为的。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E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r>
      <w:tr w14:paraId="1810D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4BFBC">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4467F">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F49A3">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BF645">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3BA9D">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E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行政强制执行</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E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85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近一年，互联网上网服务营业场所经营单位无行政强制执行记录的。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01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3C0CF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714FC">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B889F">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46676">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40759">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6216D">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7D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警示信息情况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8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0D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近一年，互联网上网服务营业场所经营单位在行业信用记录内，无通报警示信息的。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47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020D5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6442D">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32604">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BDD4A">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EC65B">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97D3B">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4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安全管理制度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964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89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具有健全、完善的信息网络安全管理制度和安全技术措施的。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C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3D4C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DE890">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845CE">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1D086">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7A842">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2038D">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0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省公共信用评价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E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FA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互联网上网服务营业场所经营单位未被认定为文化和旅游市场轻微失信主体</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1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r>
      <w:tr w14:paraId="05DC5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94D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A2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服务质量</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A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E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消费者评价</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0D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F92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评价记录</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3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8DF7">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近一年，互联网上网服务营业场所经营单位未受到有责投诉的。如出现有责投诉，每次在该项总分中扣除10分（最高不超过100分）。</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9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3A028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0A53B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D66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安全管理</w:t>
            </w:r>
          </w:p>
        </w:tc>
        <w:tc>
          <w:tcPr>
            <w:tcW w:w="10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4C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A2E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场所安全</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4A3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C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禁燃守规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B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0D26">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近一年，互联网上网服务营业场所经营单位按规定禁止明火照明和吸烟并悬挂禁止吸烟标志的。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4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09C14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0D79E">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E7A2C">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225EB">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62B24">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8E46F">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9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禁带合规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F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D40E">
            <w:pPr>
              <w:pStyle w:val="3"/>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近一年，互联网上网服务营业场所经营单位有“禁止带入和存放易燃、易爆物品”标志的。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4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2BCAF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486BA">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85CF5">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97293">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FA78E">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B6ABB">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18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疏散守规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4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29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近一年，互联网上网服务营业场所经营单位按规定营业期间门窗、安全疏散通道和安全出口畅通，未安装固定的封闭窗帘栅栏的。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6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4A16E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532B3">
            <w:pPr>
              <w:jc w:val="center"/>
              <w:rPr>
                <w:rFonts w:hint="eastAsia" w:ascii="黑体" w:hAnsi="宋体" w:eastAsia="黑体" w:cs="黑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623CC">
            <w:pPr>
              <w:jc w:val="center"/>
              <w:rPr>
                <w:rFonts w:hint="eastAsia" w:ascii="宋体" w:hAnsi="宋体" w:eastAsia="宋体" w:cs="宋体"/>
                <w:i w:val="0"/>
                <w:iCs w:val="0"/>
                <w:color w:val="000000"/>
                <w:sz w:val="20"/>
                <w:szCs w:val="20"/>
                <w:u w:val="none"/>
              </w:rPr>
            </w:pPr>
          </w:p>
        </w:tc>
        <w:tc>
          <w:tcPr>
            <w:tcW w:w="10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D6E1C">
            <w:pPr>
              <w:jc w:val="center"/>
              <w:rPr>
                <w:rFonts w:hint="eastAsia" w:ascii="宋体" w:hAnsi="宋体" w:eastAsia="宋体" w:cs="宋体"/>
                <w:i w:val="0"/>
                <w:iCs w:val="0"/>
                <w:color w:val="000000"/>
                <w:sz w:val="20"/>
                <w:szCs w:val="20"/>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08189">
            <w:pPr>
              <w:jc w:val="center"/>
              <w:rPr>
                <w:rFonts w:hint="eastAsia" w:ascii="宋体" w:hAnsi="宋体" w:eastAsia="宋体" w:cs="宋体"/>
                <w:i w:val="0"/>
                <w:iCs w:val="0"/>
                <w:color w:val="000000"/>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AD345">
            <w:pPr>
              <w:jc w:val="center"/>
              <w:rPr>
                <w:rFonts w:hint="eastAsia" w:ascii="宋体" w:hAnsi="宋体" w:eastAsia="宋体" w:cs="宋体"/>
                <w:i w:val="0"/>
                <w:iCs w:val="0"/>
                <w:color w:val="000000"/>
                <w:sz w:val="20"/>
                <w:szCs w:val="20"/>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CA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技措守规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D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CA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近一年，互联网上网服务营业场所经营单位无“擅自停止实施安全技术措施”情形的。</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0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bl>
    <w:p w14:paraId="36A07DDF">
      <w:pPr>
        <w:pStyle w:val="11"/>
        <w:rPr>
          <w:rFonts w:hint="eastAsia"/>
          <w:sz w:val="28"/>
          <w:szCs w:val="24"/>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CA401EA">
      <w:pPr>
        <w:pStyle w:val="10"/>
        <w:keepNext w:val="0"/>
        <w:keepLines w:val="0"/>
        <w:pageBreakBefore w:val="0"/>
        <w:widowControl/>
        <w:numPr>
          <w:ilvl w:val="1"/>
          <w:numId w:val="0"/>
        </w:numPr>
        <w:kinsoku/>
        <w:wordWrap/>
        <w:overflowPunct/>
        <w:topLinePunct w:val="0"/>
        <w:autoSpaceDE/>
        <w:autoSpaceDN/>
        <w:bidi w:val="0"/>
        <w:adjustRightInd w:val="0"/>
        <w:snapToGrid w:val="0"/>
        <w:spacing w:beforeLines="0" w:afterLines="0" w:line="600" w:lineRule="exact"/>
        <w:textAlignment w:val="baseline"/>
        <w:rPr>
          <w:rFonts w:hint="eastAsia"/>
          <w:sz w:val="28"/>
          <w:szCs w:val="24"/>
        </w:rPr>
      </w:pPr>
      <w:r>
        <w:rPr>
          <w:rFonts w:hint="eastAsia"/>
          <w:sz w:val="28"/>
          <w:szCs w:val="24"/>
        </w:rPr>
        <w:t xml:space="preserve">表2 </w:t>
      </w:r>
      <w:r>
        <w:rPr>
          <w:rFonts w:hint="eastAsia"/>
          <w:sz w:val="28"/>
          <w:szCs w:val="24"/>
          <w:lang w:val="en-US" w:eastAsia="zh-CN"/>
        </w:rPr>
        <w:t xml:space="preserve"> </w:t>
      </w:r>
      <w:r>
        <w:rPr>
          <w:rFonts w:hint="eastAsia"/>
          <w:sz w:val="28"/>
          <w:szCs w:val="24"/>
        </w:rPr>
        <w:t>信用评价指标及评分表（附加分）</w:t>
      </w:r>
    </w:p>
    <w:tbl>
      <w:tblPr>
        <w:tblStyle w:val="8"/>
        <w:tblW w:w="134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3"/>
        <w:gridCol w:w="1296"/>
        <w:gridCol w:w="1059"/>
        <w:gridCol w:w="8248"/>
        <w:gridCol w:w="2131"/>
      </w:tblGrid>
      <w:tr w14:paraId="3A493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449C8E6">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129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211708D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附加分指标</w:t>
            </w:r>
          </w:p>
        </w:tc>
        <w:tc>
          <w:tcPr>
            <w:tcW w:w="105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21355CBD">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最高分值</w:t>
            </w:r>
          </w:p>
        </w:tc>
        <w:tc>
          <w:tcPr>
            <w:tcW w:w="8248"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A1FA8C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附加分指标说明及评分</w:t>
            </w:r>
          </w:p>
        </w:tc>
        <w:tc>
          <w:tcPr>
            <w:tcW w:w="213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5C7515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每项（次）得分</w:t>
            </w:r>
          </w:p>
        </w:tc>
      </w:tr>
      <w:tr w14:paraId="0B0E3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667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6C4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荣誉表彰</w:t>
            </w:r>
          </w:p>
        </w:tc>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C3E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D4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近三年，获得行政部门或行业协会等组织授予的国家级荣誉表彰（包括员工）</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0E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0E04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7B04C">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46A2F">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FA9CC">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EA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近三年，获得行政部门或行业协会等组织授予的省级荣誉表彰（包括员工）</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B8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08954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8A50D">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8BFF8">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5DF7B">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DE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近三年，获得行政部门或行业协会等组织授予的市级荣誉表彰（包括员工）</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E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14D1F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2506C">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55E81">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C8B07">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B4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近三年，获得行政部门或旅游行业协会等组织授予的区县级荣誉表彰（包括员工）</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1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6C238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1006B">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7019C">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2895E">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F0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近三年，获得行政部门通报表扬（包括员工）</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0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5BB8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45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66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社会责任</w:t>
            </w:r>
          </w:p>
        </w:tc>
        <w:tc>
          <w:tcPr>
            <w:tcW w:w="10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63D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B3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近一年，互联网上网服务营业场所经营单位或组织员工参与公益、志愿服务、捐赠现金或物品设备的，每次得10分，最高得20分。</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37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4F9AA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F2707">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87624">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C0C69">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28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互联网上网服务营业场所经营单位有安置残障人士就业情况的，得20分。</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E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71796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ECCB8">
            <w:pPr>
              <w:jc w:val="center"/>
              <w:rPr>
                <w:rFonts w:hint="eastAsia" w:ascii="宋体" w:hAnsi="宋体" w:eastAsia="宋体" w:cs="宋体"/>
                <w:i w:val="0"/>
                <w:iCs w:val="0"/>
                <w:color w:val="000000"/>
                <w:sz w:val="18"/>
                <w:szCs w:val="18"/>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8A4DE">
            <w:pPr>
              <w:jc w:val="center"/>
              <w:rPr>
                <w:rFonts w:hint="eastAsia" w:ascii="宋体" w:hAnsi="宋体" w:eastAsia="宋体" w:cs="宋体"/>
                <w:i w:val="0"/>
                <w:iCs w:val="0"/>
                <w:color w:val="000000"/>
                <w:sz w:val="18"/>
                <w:szCs w:val="18"/>
                <w:u w:val="none"/>
              </w:rPr>
            </w:pPr>
          </w:p>
        </w:tc>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72B71">
            <w:pPr>
              <w:jc w:val="center"/>
              <w:rPr>
                <w:rFonts w:hint="eastAsia" w:ascii="宋体" w:hAnsi="宋体" w:eastAsia="宋体" w:cs="宋体"/>
                <w:i w:val="0"/>
                <w:iCs w:val="0"/>
                <w:color w:val="000000"/>
                <w:sz w:val="18"/>
                <w:szCs w:val="18"/>
                <w:u w:val="none"/>
              </w:rPr>
            </w:pP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27D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近一年，互联网上网服务营业场所经营单位参与政府主导的公共文化服务活动的，每次得10分，最高20分。</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A1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3C2A0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5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B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信用承诺</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E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6F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向社会做出信用承诺并公示的，每次得10分，最高得20分。</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C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26CFD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7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E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守信激励</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B5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45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近三年，互联网上网服务营业场所经营单位列入信用河北诚信名单、信用红榜等。每次得10分，最高得40分。</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B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67C60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7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CB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7D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50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近三年，互联网上网服务营业场所经营单位被税务机关评定为A级纳税人至少一次的。</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F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bl>
    <w:p w14:paraId="5FB8EE29">
      <w:pPr>
        <w:rPr>
          <w:rFonts w:hint="eastAsia" w:eastAsiaTheme="minorEastAsia"/>
          <w:color w:val="FF0000"/>
          <w:lang w:eastAsia="zh-CN"/>
        </w:rPr>
      </w:pPr>
      <w:r>
        <w:rPr>
          <w:rFonts w:hint="eastAsia"/>
          <w:color w:val="FF0000"/>
          <w:lang w:eastAsia="zh-CN"/>
        </w:rPr>
        <w:t>，</w:t>
      </w:r>
    </w:p>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0E52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974BC">
                          <w:pPr>
                            <w:pStyle w:val="5"/>
                          </w:pPr>
                          <w:r>
                            <w:t>—</w:t>
                          </w:r>
                          <w:r>
                            <w:rPr>
                              <w:sz w:val="20"/>
                              <w:szCs w:val="24"/>
                            </w:rPr>
                            <w:t xml:space="preserve"> </w:t>
                          </w:r>
                          <w:r>
                            <w:rPr>
                              <w:sz w:val="20"/>
                              <w:szCs w:val="24"/>
                            </w:rPr>
                            <w:fldChar w:fldCharType="begin"/>
                          </w:r>
                          <w:r>
                            <w:rPr>
                              <w:sz w:val="20"/>
                              <w:szCs w:val="24"/>
                            </w:rPr>
                            <w:instrText xml:space="preserve"> PAGE  \* MERGEFORMAT </w:instrText>
                          </w:r>
                          <w:r>
                            <w:rPr>
                              <w:sz w:val="20"/>
                              <w:szCs w:val="24"/>
                            </w:rPr>
                            <w:fldChar w:fldCharType="separate"/>
                          </w:r>
                          <w:r>
                            <w:rPr>
                              <w:sz w:val="20"/>
                              <w:szCs w:val="24"/>
                            </w:rPr>
                            <w:t>1</w:t>
                          </w:r>
                          <w:r>
                            <w:rPr>
                              <w:sz w:val="20"/>
                              <w:szCs w:val="24"/>
                            </w:rPr>
                            <w:fldChar w:fldCharType="end"/>
                          </w:r>
                          <w:r>
                            <w:rPr>
                              <w:sz w:val="20"/>
                              <w:szCs w:val="2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3974BC">
                    <w:pPr>
                      <w:pStyle w:val="5"/>
                    </w:pPr>
                    <w:r>
                      <w:t>—</w:t>
                    </w:r>
                    <w:r>
                      <w:rPr>
                        <w:sz w:val="20"/>
                        <w:szCs w:val="24"/>
                      </w:rPr>
                      <w:t xml:space="preserve"> </w:t>
                    </w:r>
                    <w:r>
                      <w:rPr>
                        <w:sz w:val="20"/>
                        <w:szCs w:val="24"/>
                      </w:rPr>
                      <w:fldChar w:fldCharType="begin"/>
                    </w:r>
                    <w:r>
                      <w:rPr>
                        <w:sz w:val="20"/>
                        <w:szCs w:val="24"/>
                      </w:rPr>
                      <w:instrText xml:space="preserve"> PAGE  \* MERGEFORMAT </w:instrText>
                    </w:r>
                    <w:r>
                      <w:rPr>
                        <w:sz w:val="20"/>
                        <w:szCs w:val="24"/>
                      </w:rPr>
                      <w:fldChar w:fldCharType="separate"/>
                    </w:r>
                    <w:r>
                      <w:rPr>
                        <w:sz w:val="20"/>
                        <w:szCs w:val="24"/>
                      </w:rPr>
                      <w:t>1</w:t>
                    </w:r>
                    <w:r>
                      <w:rPr>
                        <w:sz w:val="20"/>
                        <w:szCs w:val="24"/>
                      </w:rPr>
                      <w:fldChar w:fldCharType="end"/>
                    </w:r>
                    <w:r>
                      <w:rPr>
                        <w:sz w:val="20"/>
                        <w:szCs w:val="24"/>
                      </w:rPr>
                      <w:t xml:space="preserve"> </w:t>
                    </w:r>
                    <w: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pStyle w:val="10"/>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66E6CFAA"/>
    <w:multiLevelType w:val="singleLevel"/>
    <w:tmpl w:val="66E6CFAA"/>
    <w:lvl w:ilvl="0" w:tentative="0">
      <w:start w:val="1"/>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ZGM1OTlmNGEyNDg4N2I3NDU4M2FiM2I4MmZjYWUifQ=="/>
  </w:docVars>
  <w:rsids>
    <w:rsidRoot w:val="00000000"/>
    <w:rsid w:val="008E141B"/>
    <w:rsid w:val="02FD255A"/>
    <w:rsid w:val="03B26BD2"/>
    <w:rsid w:val="047F2D99"/>
    <w:rsid w:val="06AD639E"/>
    <w:rsid w:val="07047ECE"/>
    <w:rsid w:val="07527B34"/>
    <w:rsid w:val="07E06245"/>
    <w:rsid w:val="09C163D5"/>
    <w:rsid w:val="0C5E3BDC"/>
    <w:rsid w:val="0D976274"/>
    <w:rsid w:val="0E7717C7"/>
    <w:rsid w:val="0E7A3276"/>
    <w:rsid w:val="0EEF1EE3"/>
    <w:rsid w:val="0F1D38DB"/>
    <w:rsid w:val="1025513D"/>
    <w:rsid w:val="106D2640"/>
    <w:rsid w:val="115B2C85"/>
    <w:rsid w:val="12C7072D"/>
    <w:rsid w:val="12D60970"/>
    <w:rsid w:val="12EB17AC"/>
    <w:rsid w:val="12FC7CAB"/>
    <w:rsid w:val="13A4281C"/>
    <w:rsid w:val="1461070D"/>
    <w:rsid w:val="14A10028"/>
    <w:rsid w:val="167D1103"/>
    <w:rsid w:val="178D23B1"/>
    <w:rsid w:val="17EA7223"/>
    <w:rsid w:val="192F0DDA"/>
    <w:rsid w:val="196D545F"/>
    <w:rsid w:val="19B25567"/>
    <w:rsid w:val="1A002777"/>
    <w:rsid w:val="1B4306D5"/>
    <w:rsid w:val="1B543F7D"/>
    <w:rsid w:val="1BBC447B"/>
    <w:rsid w:val="1BDE2644"/>
    <w:rsid w:val="1D0B1216"/>
    <w:rsid w:val="1D267E8D"/>
    <w:rsid w:val="1D3E15EC"/>
    <w:rsid w:val="1D631052"/>
    <w:rsid w:val="1DBC69B5"/>
    <w:rsid w:val="1F1626D3"/>
    <w:rsid w:val="20A756FA"/>
    <w:rsid w:val="21171601"/>
    <w:rsid w:val="22794867"/>
    <w:rsid w:val="23ED5B1A"/>
    <w:rsid w:val="24A73F1B"/>
    <w:rsid w:val="24CB6D85"/>
    <w:rsid w:val="25E01FB6"/>
    <w:rsid w:val="262162C7"/>
    <w:rsid w:val="278C73F8"/>
    <w:rsid w:val="27B70919"/>
    <w:rsid w:val="293207FF"/>
    <w:rsid w:val="2936465A"/>
    <w:rsid w:val="2B1716CE"/>
    <w:rsid w:val="2B4308BA"/>
    <w:rsid w:val="2CC15D95"/>
    <w:rsid w:val="2D79041E"/>
    <w:rsid w:val="2DD31C58"/>
    <w:rsid w:val="2E0E6DB8"/>
    <w:rsid w:val="2FCE2CA3"/>
    <w:rsid w:val="30444D13"/>
    <w:rsid w:val="307308B6"/>
    <w:rsid w:val="308726CA"/>
    <w:rsid w:val="31815AF3"/>
    <w:rsid w:val="3200580A"/>
    <w:rsid w:val="32C65EB4"/>
    <w:rsid w:val="32DF2AD1"/>
    <w:rsid w:val="33F22CD8"/>
    <w:rsid w:val="34086568"/>
    <w:rsid w:val="342F0BF2"/>
    <w:rsid w:val="34303B21"/>
    <w:rsid w:val="3482405C"/>
    <w:rsid w:val="364054FE"/>
    <w:rsid w:val="364F7F6E"/>
    <w:rsid w:val="368F480F"/>
    <w:rsid w:val="36CC15BF"/>
    <w:rsid w:val="37320B19"/>
    <w:rsid w:val="38783580"/>
    <w:rsid w:val="39E02047"/>
    <w:rsid w:val="3A023FD8"/>
    <w:rsid w:val="3A3C4CAD"/>
    <w:rsid w:val="3A4430A1"/>
    <w:rsid w:val="3AA4054B"/>
    <w:rsid w:val="3ABF28DF"/>
    <w:rsid w:val="3BA40D5C"/>
    <w:rsid w:val="3CA1529C"/>
    <w:rsid w:val="3CB925E5"/>
    <w:rsid w:val="3CCB3725"/>
    <w:rsid w:val="3D4110D9"/>
    <w:rsid w:val="3F984734"/>
    <w:rsid w:val="42D93B7D"/>
    <w:rsid w:val="43217136"/>
    <w:rsid w:val="439B778F"/>
    <w:rsid w:val="43C20D21"/>
    <w:rsid w:val="440E1469"/>
    <w:rsid w:val="44216872"/>
    <w:rsid w:val="45C2701C"/>
    <w:rsid w:val="464E1599"/>
    <w:rsid w:val="46FD1503"/>
    <w:rsid w:val="472A35EA"/>
    <w:rsid w:val="47B10A89"/>
    <w:rsid w:val="498455FF"/>
    <w:rsid w:val="4A6A4F1F"/>
    <w:rsid w:val="4AFB2458"/>
    <w:rsid w:val="4C1F0DC1"/>
    <w:rsid w:val="4D1E1374"/>
    <w:rsid w:val="4D445EFB"/>
    <w:rsid w:val="4E720846"/>
    <w:rsid w:val="4F4405DB"/>
    <w:rsid w:val="4F9F566B"/>
    <w:rsid w:val="4FDEEE7A"/>
    <w:rsid w:val="505C17AE"/>
    <w:rsid w:val="51E90E1F"/>
    <w:rsid w:val="520F4874"/>
    <w:rsid w:val="54244390"/>
    <w:rsid w:val="54302D35"/>
    <w:rsid w:val="5632659F"/>
    <w:rsid w:val="563C1E65"/>
    <w:rsid w:val="57FB28B2"/>
    <w:rsid w:val="58AA46BA"/>
    <w:rsid w:val="5968741C"/>
    <w:rsid w:val="5A28314F"/>
    <w:rsid w:val="5AC86202"/>
    <w:rsid w:val="5AEB3E5A"/>
    <w:rsid w:val="5B835E40"/>
    <w:rsid w:val="5C0A6562"/>
    <w:rsid w:val="5D0E5532"/>
    <w:rsid w:val="5D294FCA"/>
    <w:rsid w:val="5DB61824"/>
    <w:rsid w:val="5E03770C"/>
    <w:rsid w:val="5F3D09FC"/>
    <w:rsid w:val="607602AB"/>
    <w:rsid w:val="6078146D"/>
    <w:rsid w:val="60E91ED1"/>
    <w:rsid w:val="624B1DC6"/>
    <w:rsid w:val="659507CD"/>
    <w:rsid w:val="65CC62CA"/>
    <w:rsid w:val="664803B2"/>
    <w:rsid w:val="67602919"/>
    <w:rsid w:val="67FD6F7B"/>
    <w:rsid w:val="68071BA7"/>
    <w:rsid w:val="69472BA3"/>
    <w:rsid w:val="69CC12FA"/>
    <w:rsid w:val="6A7C715F"/>
    <w:rsid w:val="6AB9187F"/>
    <w:rsid w:val="6AE368FC"/>
    <w:rsid w:val="6B0E5FB7"/>
    <w:rsid w:val="6B170353"/>
    <w:rsid w:val="6B562211"/>
    <w:rsid w:val="6DBD3434"/>
    <w:rsid w:val="6E1E5318"/>
    <w:rsid w:val="6E9F59CC"/>
    <w:rsid w:val="6ECE6B39"/>
    <w:rsid w:val="6F20257D"/>
    <w:rsid w:val="6F3F5C68"/>
    <w:rsid w:val="6FE14D9A"/>
    <w:rsid w:val="701A2DBF"/>
    <w:rsid w:val="724F0D2A"/>
    <w:rsid w:val="736670D3"/>
    <w:rsid w:val="73AB7D4A"/>
    <w:rsid w:val="76856AB9"/>
    <w:rsid w:val="76C021E7"/>
    <w:rsid w:val="76DE1497"/>
    <w:rsid w:val="774E15A1"/>
    <w:rsid w:val="77675644"/>
    <w:rsid w:val="78D14237"/>
    <w:rsid w:val="79C478F8"/>
    <w:rsid w:val="7A707A80"/>
    <w:rsid w:val="7AAD5C2D"/>
    <w:rsid w:val="7B5C26B1"/>
    <w:rsid w:val="7CFE1373"/>
    <w:rsid w:val="7EBE971F"/>
    <w:rsid w:val="7F2D7CEE"/>
    <w:rsid w:val="7F3563AC"/>
    <w:rsid w:val="7F90784C"/>
    <w:rsid w:val="7FDE3504"/>
    <w:rsid w:val="FB9B7396"/>
    <w:rsid w:val="FBDF8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无间隔1"/>
    <w:next w:val="1"/>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
    <w:name w:val="annotation text"/>
    <w:basedOn w:val="1"/>
    <w:qFormat/>
    <w:uiPriority w:val="0"/>
    <w:pPr>
      <w:jc w:val="left"/>
    </w:pPr>
  </w:style>
  <w:style w:type="paragraph" w:styleId="4">
    <w:name w:val="Salutation"/>
    <w:basedOn w:val="1"/>
    <w:next w:val="1"/>
    <w:qFormat/>
    <w:uiPriority w:val="0"/>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nhideWhenUsed/>
    <w:qFormat/>
    <w:uiPriority w:val="99"/>
    <w:pPr>
      <w:widowControl/>
      <w:jc w:val="left"/>
    </w:pPr>
    <w:rPr>
      <w:rFonts w:ascii="宋体" w:hAnsi="宋体" w:eastAsia="宋体" w:cs="宋体"/>
      <w:kern w:val="0"/>
      <w:sz w:val="24"/>
      <w:szCs w:val="24"/>
    </w:rPr>
  </w:style>
  <w:style w:type="paragraph" w:customStyle="1" w:styleId="10">
    <w:name w:val="标准文件_附录表标题"/>
    <w:next w:val="11"/>
    <w:qFormat/>
    <w:uiPriority w:val="0"/>
    <w:pPr>
      <w:numPr>
        <w:ilvl w:val="1"/>
        <w:numId w:val="1"/>
      </w:numPr>
      <w:adjustRightInd w:val="0"/>
      <w:snapToGrid w:val="0"/>
      <w:spacing w:beforeLines="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1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2">
    <w:name w:val="font11"/>
    <w:basedOn w:val="9"/>
    <w:qFormat/>
    <w:uiPriority w:val="0"/>
    <w:rPr>
      <w:rFonts w:hint="eastAsia" w:ascii="黑体" w:hAnsi="宋体" w:eastAsia="黑体" w:cs="黑体"/>
      <w:color w:val="000000"/>
      <w:sz w:val="20"/>
      <w:szCs w:val="20"/>
      <w:u w:val="none"/>
    </w:rPr>
  </w:style>
  <w:style w:type="character" w:customStyle="1" w:styleId="13">
    <w:name w:val="font21"/>
    <w:basedOn w:val="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4596</Words>
  <Characters>4762</Characters>
  <Lines>0</Lines>
  <Paragraphs>0</Paragraphs>
  <TotalTime>5</TotalTime>
  <ScaleCrop>false</ScaleCrop>
  <LinksUpToDate>false</LinksUpToDate>
  <CharactersWithSpaces>4776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2023-07-21T09:38:00Z</dcterms:created>
  <dc:creator>feng</dc:creator>
  <cp:lastModifiedBy>Administrator</cp:lastModifiedBy>
  <dcterms:modified xsi:type="dcterms:W3CDTF">2025-07-22T02:01:08Z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D8454A74E1AA420EBB1FCA093AC3FAE9_12</vt:lpwstr>
  </property>
  <property fmtid="{D5CDD505-2E9C-101B-9397-08002B2CF9AE}" pid="4" name="KSOTemplateDocerSaveRecord">
    <vt:lpwstr>eyJoZGlkIjoiMmZjZjdkZTE2NDQwNDE3ODc2MWRmZWJlOWFjODhhZmIifQ==</vt:lpwstr>
  </property>
</Properties>
</file>