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firstLine="0" w:firstLineChars="0"/>
        <w:jc w:val="both"/>
        <w:rPr>
          <w:rFonts w:hint="default" w:ascii="方正黑体_GBK" w:hAnsi="方正黑体_GBK" w:eastAsia="方正黑体_GBK" w:cs="方正黑体_GBK"/>
          <w:color w:val="auto"/>
          <w:kern w:val="36"/>
          <w:sz w:val="32"/>
          <w:szCs w:val="32"/>
          <w:lang w:val="en-US" w:eastAsia="zh-CN"/>
        </w:rPr>
      </w:pPr>
      <w:r>
        <w:rPr>
          <w:rFonts w:hint="eastAsia" w:ascii="方正黑体_GBK" w:hAnsi="方正黑体_GBK" w:eastAsia="方正黑体_GBK" w:cs="方正黑体_GBK"/>
          <w:color w:val="auto"/>
          <w:kern w:val="36"/>
          <w:sz w:val="32"/>
          <w:szCs w:val="32"/>
          <w:lang w:val="en-US" w:eastAsia="zh-CN"/>
        </w:rPr>
        <w:t>附件1.</w:t>
      </w:r>
    </w:p>
    <w:p>
      <w:pPr>
        <w:spacing w:line="600" w:lineRule="exact"/>
        <w:ind w:firstLine="880" w:firstLineChars="200"/>
        <w:jc w:val="both"/>
        <w:rPr>
          <w:rFonts w:hint="eastAsia" w:ascii="方正小标宋简体" w:eastAsia="方正小标宋简体"/>
          <w:sz w:val="44"/>
          <w:szCs w:val="44"/>
        </w:rPr>
      </w:pPr>
    </w:p>
    <w:p>
      <w:pPr>
        <w:spacing w:line="600" w:lineRule="exact"/>
        <w:ind w:firstLine="880" w:firstLineChars="200"/>
        <w:jc w:val="both"/>
        <w:rPr>
          <w:rFonts w:hint="eastAsia" w:ascii="方正小标宋简体" w:eastAsia="方正小标宋简体"/>
          <w:sz w:val="44"/>
          <w:szCs w:val="44"/>
        </w:rPr>
      </w:pPr>
      <w:r>
        <w:rPr>
          <w:rFonts w:hint="eastAsia" w:ascii="方正小标宋简体" w:eastAsia="方正小标宋简体"/>
          <w:sz w:val="44"/>
          <w:szCs w:val="44"/>
        </w:rPr>
        <w:t>河北省旅行社信用评价管理实施细则</w:t>
      </w:r>
    </w:p>
    <w:p>
      <w:pPr>
        <w:spacing w:line="600" w:lineRule="exact"/>
        <w:jc w:val="center"/>
        <w:rPr>
          <w:rFonts w:hint="eastAsia" w:ascii="方正小标宋简体" w:eastAsia="方正小标宋简体"/>
          <w:sz w:val="44"/>
          <w:szCs w:val="44"/>
          <w:lang w:val="en-US" w:eastAsia="zh-CN"/>
        </w:rPr>
      </w:pPr>
      <w:r>
        <w:rPr>
          <w:rFonts w:hint="eastAsia" w:ascii="方正小标宋简体" w:eastAsia="方正小标宋简体"/>
          <w:sz w:val="44"/>
          <w:szCs w:val="44"/>
        </w:rPr>
        <w:t>修订</w:t>
      </w:r>
      <w:r>
        <w:rPr>
          <w:rFonts w:hint="eastAsia" w:ascii="方正小标宋简体" w:eastAsia="方正小标宋简体"/>
          <w:sz w:val="44"/>
          <w:szCs w:val="44"/>
          <w:lang w:val="en-US" w:eastAsia="zh-CN"/>
        </w:rPr>
        <w:t>说明</w:t>
      </w:r>
    </w:p>
    <w:p>
      <w:pPr>
        <w:spacing w:line="600" w:lineRule="exact"/>
        <w:jc w:val="center"/>
        <w:rPr>
          <w:rFonts w:hint="eastAsia" w:ascii="方正小标宋简体" w:eastAsia="方正小标宋简体"/>
          <w:sz w:val="36"/>
          <w:szCs w:val="36"/>
        </w:rPr>
      </w:pP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left="-10" w:leftChars="0" w:firstLine="640" w:firstLineChars="0"/>
        <w:jc w:val="left"/>
        <w:textAlignment w:val="auto"/>
        <w:rPr>
          <w:rFonts w:hint="eastAsia" w:ascii="仿宋_GB2312" w:eastAsia="仿宋_GB2312"/>
          <w:sz w:val="32"/>
          <w:szCs w:val="32"/>
          <w:highlight w:val="none"/>
          <w:lang w:val="en-US" w:eastAsia="zh-CN"/>
        </w:rPr>
      </w:pPr>
      <w:bookmarkStart w:id="0" w:name="_GoBack"/>
      <w:r>
        <w:rPr>
          <w:rFonts w:hint="eastAsia" w:ascii="仿宋_GB2312" w:eastAsia="仿宋_GB2312"/>
          <w:sz w:val="32"/>
          <w:szCs w:val="32"/>
          <w:highlight w:val="none"/>
        </w:rPr>
        <w:t>将第</w:t>
      </w:r>
      <w:r>
        <w:rPr>
          <w:rFonts w:hint="eastAsia" w:ascii="仿宋_GB2312" w:eastAsia="仿宋_GB2312"/>
          <w:sz w:val="32"/>
          <w:szCs w:val="32"/>
          <w:highlight w:val="none"/>
          <w:lang w:val="en-US" w:eastAsia="zh-CN"/>
        </w:rPr>
        <w:t>五</w:t>
      </w:r>
      <w:r>
        <w:rPr>
          <w:rFonts w:hint="eastAsia" w:ascii="仿宋_GB2312" w:eastAsia="仿宋_GB2312"/>
          <w:sz w:val="32"/>
          <w:szCs w:val="32"/>
          <w:highlight w:val="none"/>
        </w:rPr>
        <w:t>条</w:t>
      </w:r>
      <w:r>
        <w:rPr>
          <w:rFonts w:hint="eastAsia" w:ascii="仿宋_GB2312" w:eastAsia="仿宋_GB2312"/>
          <w:sz w:val="32"/>
          <w:szCs w:val="32"/>
          <w:highlight w:val="none"/>
          <w:lang w:val="en-US" w:eastAsia="zh-CN"/>
        </w:rPr>
        <w:t>修改为：</w:t>
      </w:r>
    </w:p>
    <w:p>
      <w:pPr>
        <w:pStyle w:val="4"/>
        <w:keepNext w:val="0"/>
        <w:keepLines w:val="0"/>
        <w:pageBreakBefore w:val="0"/>
        <w:widowControl/>
        <w:kinsoku/>
        <w:wordWrap/>
        <w:overflowPunct/>
        <w:topLinePunct w:val="0"/>
        <w:autoSpaceDE/>
        <w:autoSpaceDN/>
        <w:bidi w:val="0"/>
        <w:adjustRightInd/>
        <w:snapToGrid/>
        <w:spacing w:line="600" w:lineRule="exact"/>
        <w:ind w:firstLine="707" w:firstLineChars="221"/>
        <w:jc w:val="both"/>
        <w:textAlignment w:val="auto"/>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rPr>
        <w:t>第五条以全国信用信息共享平台（河北）归集的公共信用信息、各级文化和旅游行业主管部门在履行职责过程中产生和掌握的信用信</w:t>
      </w:r>
      <w:bookmarkEnd w:id="0"/>
      <w:r>
        <w:rPr>
          <w:rFonts w:hint="eastAsia" w:ascii="仿宋_GB2312" w:hAnsi="仿宋" w:eastAsia="仿宋_GB2312"/>
          <w:color w:val="000000"/>
          <w:sz w:val="32"/>
          <w:szCs w:val="32"/>
          <w:highlight w:val="none"/>
        </w:rPr>
        <w:t>息、</w:t>
      </w:r>
      <w:r>
        <w:rPr>
          <w:rFonts w:hint="eastAsia" w:ascii="仿宋_GB2312" w:hAnsi="仿宋" w:eastAsia="仿宋_GB2312"/>
          <w:color w:val="auto"/>
          <w:sz w:val="32"/>
          <w:szCs w:val="32"/>
          <w:highlight w:val="none"/>
          <w:lang w:eastAsia="zh-CN"/>
        </w:rPr>
        <w:t>河北省企业公共信用综合评价结果</w:t>
      </w:r>
      <w:r>
        <w:rPr>
          <w:rFonts w:hint="eastAsia" w:ascii="仿宋_GB2312" w:hAnsi="仿宋" w:eastAsia="仿宋_GB2312"/>
          <w:color w:val="000000"/>
          <w:sz w:val="32"/>
          <w:szCs w:val="32"/>
          <w:highlight w:val="none"/>
        </w:rPr>
        <w:t>为依据，结合旅行社自行上报数据，按照本细则规定的分类标准，构建信用评价模型，旅行社信用评价方法采用等级熔断和指标评分相结合的方式。</w:t>
      </w:r>
    </w:p>
    <w:p>
      <w:pPr>
        <w:pStyle w:val="4"/>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rPr>
        <w:t>（一）当旅行社信用指标数值中出现等级熔断指标时，直接将旅行社定为最低等级。等级熔断指标应符合附录表1等级熔断指标表的规定。</w:t>
      </w:r>
    </w:p>
    <w:p>
      <w:pPr>
        <w:pStyle w:val="4"/>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rPr>
        <w:t>（二）文化和旅游行业（旅行社）信用评价指标包括日常经营、行业管理、服务质量、安全管理，以及附加分五个方面。信用分值范围为0-1000分，进行信用评分时，初始分值设置为0分。按照附录表2文化和旅游行业（旅行社）信用评价指标表规定的指标项评分进行分值相加，得出总得分。</w:t>
      </w:r>
    </w:p>
    <w:p>
      <w:pPr>
        <w:pStyle w:val="4"/>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rPr>
        <w:t>（三）旅行社信用等级评价计分规则</w:t>
      </w:r>
    </w:p>
    <w:p>
      <w:pPr>
        <w:pStyle w:val="4"/>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rPr>
        <w:t>旅行社最终信用评价得分=</w:t>
      </w:r>
      <w:r>
        <w:rPr>
          <w:rFonts w:hint="eastAsia" w:ascii="仿宋_GB2312" w:hAnsi="仿宋" w:eastAsia="仿宋_GB2312"/>
          <w:color w:val="auto"/>
          <w:sz w:val="32"/>
          <w:szCs w:val="32"/>
          <w:highlight w:val="none"/>
          <w:lang w:eastAsia="zh-CN"/>
        </w:rPr>
        <w:t>河北省企业公共信用综合评价结果</w:t>
      </w:r>
      <w:r>
        <w:rPr>
          <w:rFonts w:hint="eastAsia" w:ascii="仿宋_GB2312" w:hAnsi="仿宋" w:eastAsia="仿宋_GB2312"/>
          <w:color w:val="000000"/>
          <w:sz w:val="32"/>
          <w:szCs w:val="32"/>
          <w:highlight w:val="none"/>
        </w:rPr>
        <w:t>得分X20%+旅行社信用评价</w:t>
      </w:r>
      <w:r>
        <w:rPr>
          <w:rFonts w:hint="eastAsia" w:ascii="仿宋_GB2312" w:hAnsi="仿宋" w:eastAsia="仿宋_GB2312"/>
          <w:color w:val="000000"/>
          <w:sz w:val="32"/>
          <w:szCs w:val="32"/>
          <w:highlight w:val="none"/>
          <w:lang w:eastAsia="zh-CN"/>
        </w:rPr>
        <w:t>结果</w:t>
      </w:r>
      <w:r>
        <w:rPr>
          <w:rFonts w:hint="eastAsia" w:ascii="仿宋_GB2312" w:hAnsi="仿宋" w:eastAsia="仿宋_GB2312"/>
          <w:color w:val="000000"/>
          <w:sz w:val="32"/>
          <w:szCs w:val="32"/>
          <w:highlight w:val="none"/>
        </w:rPr>
        <w:t>得分X80%。其中，</w:t>
      </w:r>
    </w:p>
    <w:p>
      <w:pPr>
        <w:pStyle w:val="4"/>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hint="eastAsia" w:ascii="仿宋_GB2312" w:hAnsi="仿宋" w:eastAsia="仿宋_GB2312"/>
          <w:color w:val="000000"/>
          <w:sz w:val="32"/>
          <w:szCs w:val="32"/>
          <w:highlight w:val="none"/>
        </w:rPr>
      </w:pPr>
      <w:r>
        <w:rPr>
          <w:rFonts w:hint="eastAsia" w:ascii="仿宋_GB2312" w:hAnsi="仿宋" w:eastAsia="仿宋_GB2312"/>
          <w:color w:val="000000"/>
          <w:sz w:val="32"/>
          <w:szCs w:val="32"/>
          <w:highlight w:val="none"/>
        </w:rPr>
        <w:t>河北省信用综合评价得分来源于河北省社会信用信息中心提供数据。</w:t>
      </w:r>
    </w:p>
    <w:p>
      <w:pPr>
        <w:pStyle w:val="4"/>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hint="eastAsia" w:ascii="仿宋_GB2312" w:hAnsi="仿宋" w:eastAsia="仿宋_GB2312"/>
          <w:color w:val="000000"/>
          <w:sz w:val="32"/>
          <w:szCs w:val="32"/>
          <w:highlight w:val="none"/>
          <w:lang w:eastAsia="zh-CN"/>
        </w:rPr>
      </w:pPr>
      <w:r>
        <w:rPr>
          <w:rFonts w:hint="eastAsia" w:ascii="仿宋_GB2312" w:hAnsi="仿宋" w:eastAsia="仿宋_GB2312"/>
          <w:color w:val="000000"/>
          <w:sz w:val="32"/>
          <w:szCs w:val="32"/>
          <w:highlight w:val="none"/>
        </w:rPr>
        <w:t>旅行社信用评价得分指的是省级文旅部门依据附录表2文化和旅游行业（旅行社）信用评价指标表做出的信用评价得分</w:t>
      </w:r>
      <w:r>
        <w:rPr>
          <w:rFonts w:hint="eastAsia" w:ascii="仿宋_GB2312" w:hAnsi="仿宋" w:eastAsia="仿宋_GB2312"/>
          <w:color w:val="000000"/>
          <w:sz w:val="32"/>
          <w:szCs w:val="32"/>
          <w:highlight w:val="none"/>
          <w:lang w:eastAsia="zh-CN"/>
        </w:rPr>
        <w:t>。</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left="-10" w:leftChars="0" w:firstLine="640" w:firstLineChars="0"/>
        <w:jc w:val="left"/>
        <w:textAlignment w:val="auto"/>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将第六条修改为：</w:t>
      </w:r>
    </w:p>
    <w:p>
      <w:pPr>
        <w:pStyle w:val="4"/>
        <w:keepNext w:val="0"/>
        <w:keepLines w:val="0"/>
        <w:pageBreakBefore w:val="0"/>
        <w:kinsoku/>
        <w:wordWrap/>
        <w:overflowPunct/>
        <w:topLinePunct w:val="0"/>
        <w:autoSpaceDE/>
        <w:autoSpaceDN/>
        <w:bidi w:val="0"/>
        <w:adjustRightInd/>
        <w:snapToGrid/>
        <w:spacing w:line="600" w:lineRule="exact"/>
        <w:ind w:firstLine="707" w:firstLineChars="221"/>
        <w:jc w:val="both"/>
        <w:textAlignment w:val="auto"/>
        <w:rPr>
          <w:rFonts w:hint="default" w:ascii="仿宋_GB2312" w:hAnsi="仿宋" w:eastAsia="仿宋_GB2312"/>
          <w:color w:val="000000"/>
          <w:sz w:val="32"/>
          <w:szCs w:val="32"/>
          <w:highlight w:val="none"/>
          <w:lang w:val="en-US" w:eastAsia="zh-CN"/>
        </w:rPr>
      </w:pPr>
      <w:r>
        <w:rPr>
          <w:rFonts w:hint="eastAsia" w:ascii="仿宋_GB2312" w:hAnsi="仿宋" w:eastAsia="仿宋_GB2312" w:cs="宋体"/>
          <w:color w:val="000000"/>
          <w:kern w:val="0"/>
          <w:sz w:val="32"/>
          <w:szCs w:val="32"/>
          <w:lang w:val="en-US" w:eastAsia="zh-CN" w:bidi="ar-SA"/>
        </w:rPr>
        <w:t>信用评价实行周期性评价，信用评价结果每季度更新。市场主体和文化和旅游行业管理部门可随时登陆系统进行信用信息补充填报，补充结果不影响当季信用等级，但将计入下一个评价周期。</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left="-10" w:leftChars="0" w:firstLine="640" w:firstLineChars="0"/>
        <w:jc w:val="left"/>
        <w:textAlignment w:val="auto"/>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将第七条（一）、</w:t>
      </w:r>
      <w:r>
        <w:rPr>
          <w:rFonts w:hint="default" w:ascii="仿宋_GB2312" w:eastAsia="仿宋_GB2312"/>
          <w:sz w:val="32"/>
          <w:szCs w:val="32"/>
          <w:highlight w:val="none"/>
          <w:lang w:val="en" w:eastAsia="zh-CN"/>
        </w:rPr>
        <w:t>(</w:t>
      </w:r>
      <w:r>
        <w:rPr>
          <w:rFonts w:hint="eastAsia" w:ascii="仿宋_GB2312" w:eastAsia="仿宋_GB2312"/>
          <w:sz w:val="32"/>
          <w:szCs w:val="32"/>
          <w:highlight w:val="none"/>
          <w:lang w:val="en" w:eastAsia="zh-CN"/>
        </w:rPr>
        <w:t>二）款删除。</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left="-10" w:leftChars="0" w:firstLine="640" w:firstLineChars="0"/>
        <w:jc w:val="left"/>
        <w:textAlignment w:val="auto"/>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将附件表1 等级熔断指标表指标项2“近一年，发生特大、重大旅游安全责任事故、涉旅突发事件并且旅行社负有主要责任”修改为“近一年，发生旅游安全责任事故且旅行社负有主要责任，造成人员伤亡或处置不当引发负面舆情”。指标项4“旅行社未按规定缴纳或补足旅游服务质量保证金”修改为“旅行社未在规定期限内向其质量保证金账户存入、增存、补足质量保证金（或投保质保金保险）”。</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left="-10" w:leftChars="0" w:firstLine="640" w:firstLineChars="0"/>
        <w:jc w:val="left"/>
        <w:textAlignment w:val="auto"/>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将附件表2信用评价指标及评分表修改为文化和旅游行业（旅行社）信用评价指标表，其中：</w:t>
      </w:r>
    </w:p>
    <w:p>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200"/>
        <w:jc w:val="left"/>
        <w:textAlignment w:val="auto"/>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增加“安全管理-涉旅安全-安全管理机制建设-“建立健全安全风险分级管控和隐患排查治理的制度规范”。</w:t>
      </w:r>
    </w:p>
    <w:p>
      <w:pPr>
        <w:pStyle w:val="7"/>
        <w:keepNext w:val="0"/>
        <w:keepLines w:val="0"/>
        <w:pageBreakBefore w:val="0"/>
        <w:kinsoku/>
        <w:wordWrap/>
        <w:overflowPunct/>
        <w:topLinePunct w:val="0"/>
        <w:autoSpaceDE/>
        <w:autoSpaceDN/>
        <w:bidi w:val="0"/>
        <w:adjustRightInd/>
        <w:snapToGrid/>
        <w:spacing w:line="600" w:lineRule="exact"/>
        <w:textAlignment w:val="auto"/>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script"/>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黑体_GBK">
    <w:altName w:val="微软雅黑"/>
    <w:panose1 w:val="02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8B2284"/>
    <w:multiLevelType w:val="singleLevel"/>
    <w:tmpl w:val="858B2284"/>
    <w:lvl w:ilvl="0" w:tentative="0">
      <w:start w:val="1"/>
      <w:numFmt w:val="chineseCounting"/>
      <w:suff w:val="nothing"/>
      <w:lvlText w:val="%1、"/>
      <w:lvlJc w:val="left"/>
      <w:pPr>
        <w:ind w:left="-10"/>
      </w:pPr>
      <w:rPr>
        <w:rFonts w:hint="eastAsia" w:ascii="黑体" w:hAnsi="黑体" w:eastAsia="黑体" w:cs="黑体"/>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U3MjUxM2QyMTA1NGFjZWFlZTZjM2Q0MjZjZDZjZDkifQ=="/>
  </w:docVars>
  <w:rsids>
    <w:rsidRoot w:val="529D321C"/>
    <w:rsid w:val="086B4353"/>
    <w:rsid w:val="34BE57FA"/>
    <w:rsid w:val="366F5EB8"/>
    <w:rsid w:val="3DF78D50"/>
    <w:rsid w:val="529D321C"/>
    <w:rsid w:val="55B476D0"/>
    <w:rsid w:val="5F6F323A"/>
    <w:rsid w:val="73084261"/>
    <w:rsid w:val="73D62CEB"/>
    <w:rsid w:val="75FCCA47"/>
    <w:rsid w:val="763F884F"/>
    <w:rsid w:val="7B6FC07B"/>
    <w:rsid w:val="D3D59063"/>
    <w:rsid w:val="DF3E4C2A"/>
    <w:rsid w:val="FBEFAF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widowControl/>
      <w:pBdr>
        <w:top w:val="single" w:color="339900" w:sz="18" w:space="15"/>
      </w:pBdr>
      <w:spacing w:before="100" w:beforeAutospacing="1" w:after="100" w:afterAutospacing="1" w:line="465" w:lineRule="atLeast"/>
      <w:jc w:val="center"/>
      <w:outlineLvl w:val="0"/>
    </w:pPr>
    <w:rPr>
      <w:rFonts w:ascii="微软雅黑" w:hAnsi="宋体" w:eastAsia="微软雅黑" w:cs="宋体"/>
      <w:color w:val="000000"/>
      <w:kern w:val="36"/>
      <w:sz w:val="33"/>
      <w:szCs w:val="33"/>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3">
    <w:name w:val="Salutation"/>
    <w:basedOn w:val="1"/>
    <w:next w:val="1"/>
    <w:qFormat/>
    <w:uiPriority w:val="0"/>
  </w:style>
  <w:style w:type="paragraph" w:styleId="4">
    <w:name w:val="Normal (Web)"/>
    <w:basedOn w:val="1"/>
    <w:unhideWhenUsed/>
    <w:qFormat/>
    <w:uiPriority w:val="99"/>
    <w:pPr>
      <w:widowControl/>
      <w:jc w:val="left"/>
    </w:pPr>
    <w:rPr>
      <w:rFonts w:ascii="宋体" w:hAnsi="宋体" w:eastAsia="宋体" w:cs="宋体"/>
      <w:kern w:val="0"/>
      <w:sz w:val="24"/>
      <w:szCs w:val="24"/>
    </w:rPr>
  </w:style>
  <w:style w:type="paragraph" w:customStyle="1" w:styleId="7">
    <w:name w:val="无间隔1"/>
    <w:next w:val="1"/>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1071</Words>
  <Characters>1110</Characters>
  <Lines>0</Lines>
  <Paragraphs>0</Paragraphs>
  <TotalTime>2</TotalTime>
  <ScaleCrop>false</ScaleCrop>
  <LinksUpToDate>false</LinksUpToDate>
  <CharactersWithSpaces>1111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2024-05-24T15:50:00Z</dcterms:created>
  <dc:creator>oscar</dc:creator>
  <cp:lastModifiedBy>Administrator</cp:lastModifiedBy>
  <dcterms:modified xsi:type="dcterms:W3CDTF">2024-06-14T02:43:47Z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C3C6994902CF42508A8AFC8403DEC248_11</vt:lpwstr>
  </property>
</Properties>
</file>