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line="600" w:lineRule="exact"/>
        <w:jc w:val="both"/>
        <w:rPr>
          <w:rFonts w:hint="eastAsia" w:ascii="黑体" w:hAnsi="黑体" w:eastAsia="黑体" w:cs="黑体"/>
          <w:color w:val="auto"/>
          <w:kern w:val="32"/>
          <w:sz w:val="32"/>
          <w:szCs w:val="32"/>
          <w:lang w:val="en-US" w:eastAsia="zh-CN"/>
        </w:rPr>
      </w:pPr>
      <w:r>
        <w:rPr>
          <w:rFonts w:hint="eastAsia" w:ascii="黑体" w:hAnsi="黑体" w:eastAsia="黑体" w:cs="黑体"/>
          <w:color w:val="auto"/>
          <w:kern w:val="32"/>
          <w:sz w:val="32"/>
          <w:szCs w:val="32"/>
          <w:lang w:eastAsia="zh-CN"/>
        </w:rPr>
        <w:t>附件</w:t>
      </w:r>
      <w:r>
        <w:rPr>
          <w:rFonts w:hint="eastAsia" w:ascii="黑体" w:hAnsi="黑体" w:eastAsia="黑体" w:cs="黑体"/>
          <w:color w:val="auto"/>
          <w:kern w:val="32"/>
          <w:sz w:val="32"/>
          <w:szCs w:val="32"/>
          <w:lang w:val="en-US" w:eastAsia="zh-CN"/>
        </w:rPr>
        <w:t>3</w:t>
      </w:r>
    </w:p>
    <w:p>
      <w:pPr>
        <w:widowControl w:val="0"/>
        <w:spacing w:line="600" w:lineRule="exact"/>
        <w:jc w:val="center"/>
        <w:rPr>
          <w:rFonts w:hint="eastAsia" w:asciiTheme="majorEastAsia" w:hAnsiTheme="majorEastAsia" w:eastAsiaTheme="majorEastAsia" w:cstheme="majorEastAsia"/>
          <w:color w:val="auto"/>
          <w:kern w:val="32"/>
          <w:sz w:val="44"/>
          <w:szCs w:val="44"/>
          <w:lang w:val="en-US" w:eastAsia="zh-CN"/>
        </w:rPr>
      </w:pPr>
      <w:r>
        <w:rPr>
          <w:rFonts w:hint="eastAsia" w:asciiTheme="majorEastAsia" w:hAnsiTheme="majorEastAsia" w:eastAsiaTheme="majorEastAsia" w:cstheme="majorEastAsia"/>
          <w:color w:val="auto"/>
          <w:kern w:val="32"/>
          <w:sz w:val="44"/>
          <w:szCs w:val="44"/>
        </w:rPr>
        <w:t>告知承诺</w:t>
      </w:r>
      <w:r>
        <w:rPr>
          <w:rFonts w:hint="eastAsia" w:asciiTheme="majorEastAsia" w:hAnsiTheme="majorEastAsia" w:eastAsiaTheme="majorEastAsia" w:cstheme="majorEastAsia"/>
          <w:color w:val="auto"/>
          <w:kern w:val="32"/>
          <w:sz w:val="44"/>
          <w:szCs w:val="44"/>
          <w:lang w:eastAsia="zh-CN"/>
        </w:rPr>
        <w:t>制</w:t>
      </w:r>
      <w:r>
        <w:rPr>
          <w:rFonts w:hint="eastAsia" w:asciiTheme="majorEastAsia" w:hAnsiTheme="majorEastAsia" w:eastAsiaTheme="majorEastAsia" w:cstheme="majorEastAsia"/>
          <w:color w:val="auto"/>
          <w:kern w:val="32"/>
          <w:sz w:val="44"/>
          <w:szCs w:val="44"/>
          <w:lang w:val="en-US" w:eastAsia="zh-CN"/>
        </w:rPr>
        <w:t>审批监管工作规范</w:t>
      </w:r>
    </w:p>
    <w:p>
      <w:pPr>
        <w:widowControl w:val="0"/>
        <w:spacing w:line="600" w:lineRule="exact"/>
        <w:jc w:val="center"/>
        <w:rPr>
          <w:rFonts w:hint="eastAsia" w:asciiTheme="majorEastAsia" w:hAnsiTheme="majorEastAsia" w:eastAsiaTheme="majorEastAsia" w:cstheme="majorEastAsia"/>
          <w:color w:val="auto"/>
          <w:kern w:val="32"/>
          <w:sz w:val="44"/>
          <w:szCs w:val="44"/>
          <w:lang w:val="en-US" w:eastAsia="zh-CN"/>
        </w:rPr>
      </w:pPr>
      <w:bookmarkStart w:id="0" w:name="_GoBack"/>
      <w:bookmarkEnd w:id="0"/>
    </w:p>
    <w:p>
      <w:pPr>
        <w:widowControl w:val="0"/>
        <w:spacing w:line="600" w:lineRule="exact"/>
        <w:ind w:firstLine="640" w:firstLineChars="200"/>
        <w:jc w:val="left"/>
        <w:rPr>
          <w:color w:val="auto"/>
          <w:sz w:val="32"/>
          <w:szCs w:val="32"/>
        </w:rPr>
      </w:pPr>
      <w:r>
        <w:rPr>
          <w:rFonts w:hint="eastAsia" w:ascii="仿宋_GB2312" w:eastAsia="仿宋_GB2312"/>
          <w:sz w:val="32"/>
          <w:szCs w:val="32"/>
        </w:rPr>
        <w:t>为</w:t>
      </w:r>
      <w:r>
        <w:rPr>
          <w:rFonts w:hint="eastAsia" w:ascii="仿宋_GB2312" w:eastAsia="仿宋_GB2312"/>
          <w:sz w:val="32"/>
          <w:szCs w:val="32"/>
          <w:lang w:val="en-US" w:eastAsia="zh-CN"/>
        </w:rPr>
        <w:t>落实</w:t>
      </w:r>
      <w:r>
        <w:rPr>
          <w:rFonts w:hint="eastAsia" w:ascii="仿宋_GB2312" w:eastAsia="仿宋_GB2312"/>
          <w:sz w:val="32"/>
          <w:szCs w:val="32"/>
        </w:rPr>
        <w:t>政务服务事项</w:t>
      </w:r>
      <w:r>
        <w:rPr>
          <w:rFonts w:hint="eastAsia" w:ascii="仿宋_GB2312" w:eastAsia="仿宋_GB2312"/>
          <w:sz w:val="32"/>
          <w:szCs w:val="32"/>
          <w:lang w:val="en-US" w:eastAsia="zh-CN"/>
        </w:rPr>
        <w:t>告知承诺制，</w:t>
      </w:r>
      <w:r>
        <w:rPr>
          <w:rFonts w:hint="eastAsia" w:ascii="仿宋_GB2312" w:hAnsi="Times New Roman" w:eastAsia="仿宋_GB2312"/>
          <w:color w:val="auto"/>
          <w:sz w:val="32"/>
          <w:szCs w:val="32"/>
        </w:rPr>
        <w:t>深化行政审批制度改革，</w:t>
      </w:r>
      <w:r>
        <w:rPr>
          <w:rFonts w:hint="eastAsia" w:ascii="仿宋_GB2312" w:hAnsi="仿宋_GB2312" w:eastAsia="仿宋_GB2312" w:cs="仿宋_GB2312"/>
          <w:color w:val="auto"/>
          <w:sz w:val="32"/>
          <w:szCs w:val="32"/>
          <w:lang w:eastAsia="zh-CN"/>
        </w:rPr>
        <w:t>优化文化和旅游行业营商环境，</w:t>
      </w:r>
      <w:r>
        <w:rPr>
          <w:rFonts w:hint="eastAsia" w:ascii="仿宋_GB2312" w:hAnsi="仿宋_GB2312" w:eastAsia="仿宋_GB2312" w:cs="仿宋_GB2312"/>
          <w:color w:val="auto"/>
          <w:sz w:val="32"/>
          <w:szCs w:val="32"/>
        </w:rPr>
        <w:t>不断提升企业群众办事便利</w:t>
      </w:r>
      <w:r>
        <w:rPr>
          <w:rFonts w:hint="eastAsia" w:ascii="仿宋_GB2312" w:hAnsi="仿宋_GB2312" w:eastAsia="仿宋_GB2312" w:cs="仿宋_GB2312"/>
          <w:color w:val="auto"/>
          <w:sz w:val="32"/>
          <w:szCs w:val="32"/>
          <w:lang w:eastAsia="zh-CN"/>
        </w:rPr>
        <w:t>快捷度</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培育壮大文旅市场主体，激发文旅市场活力，</w:t>
      </w:r>
      <w:r>
        <w:rPr>
          <w:rFonts w:hint="eastAsia" w:ascii="仿宋_GB2312" w:eastAsia="仿宋_GB2312"/>
          <w:sz w:val="32"/>
          <w:szCs w:val="32"/>
        </w:rPr>
        <w:t>根据河北省政务服务管理办公室</w:t>
      </w:r>
      <w:r>
        <w:rPr>
          <w:rFonts w:hint="eastAsia" w:ascii="仿宋_GB2312" w:eastAsia="仿宋_GB2312"/>
          <w:sz w:val="32"/>
          <w:szCs w:val="32"/>
          <w:lang w:eastAsia="zh-CN"/>
        </w:rPr>
        <w:t>《</w:t>
      </w:r>
      <w:r>
        <w:rPr>
          <w:rFonts w:hint="eastAsia" w:ascii="仿宋_GB2312" w:eastAsia="仿宋_GB2312"/>
          <w:sz w:val="32"/>
          <w:szCs w:val="32"/>
        </w:rPr>
        <w:t>河北省进一步加强审管衔接工作的若干措施》</w:t>
      </w:r>
      <w:r>
        <w:rPr>
          <w:rFonts w:hint="eastAsia" w:ascii="仿宋_GB2312" w:eastAsia="仿宋_GB2312"/>
          <w:sz w:val="32"/>
          <w:szCs w:val="32"/>
          <w:lang w:val="en-US" w:eastAsia="zh-CN"/>
        </w:rPr>
        <w:t>和</w:t>
      </w:r>
      <w:r>
        <w:rPr>
          <w:rFonts w:hint="eastAsia" w:ascii="仿宋_GB2312" w:eastAsia="仿宋_GB2312"/>
          <w:sz w:val="32"/>
          <w:szCs w:val="32"/>
          <w:lang w:eastAsia="zh-CN"/>
        </w:rPr>
        <w:t>河北省文化和旅游厅、河北省政务服务管理办公室</w:t>
      </w:r>
      <w:r>
        <w:rPr>
          <w:rFonts w:hint="eastAsia" w:ascii="仿宋_GB2312" w:eastAsia="仿宋_GB2312"/>
          <w:sz w:val="32"/>
          <w:szCs w:val="32"/>
        </w:rPr>
        <w:t>《</w:t>
      </w:r>
      <w:r>
        <w:rPr>
          <w:rFonts w:hint="eastAsia" w:ascii="仿宋_GB2312" w:eastAsia="仿宋_GB2312"/>
          <w:sz w:val="32"/>
          <w:szCs w:val="32"/>
          <w:lang w:eastAsia="zh-CN"/>
        </w:rPr>
        <w:t>文旅行业经营准入推行“一日办”</w:t>
      </w:r>
      <w:r>
        <w:rPr>
          <w:rFonts w:hint="eastAsia" w:ascii="仿宋_GB2312" w:eastAsia="仿宋_GB2312"/>
          <w:sz w:val="32"/>
          <w:szCs w:val="32"/>
        </w:rPr>
        <w:t>改革实施意见》，结合</w:t>
      </w:r>
      <w:r>
        <w:rPr>
          <w:rFonts w:hint="eastAsia" w:ascii="仿宋_GB2312" w:eastAsia="仿宋_GB2312"/>
          <w:sz w:val="32"/>
          <w:szCs w:val="32"/>
          <w:lang w:val="en-US" w:eastAsia="zh-CN"/>
        </w:rPr>
        <w:t>工作</w:t>
      </w:r>
      <w:r>
        <w:rPr>
          <w:rFonts w:hint="eastAsia" w:ascii="仿宋_GB2312" w:eastAsia="仿宋_GB2312"/>
          <w:sz w:val="32"/>
          <w:szCs w:val="32"/>
        </w:rPr>
        <w:t>实际，制定本</w:t>
      </w:r>
      <w:r>
        <w:rPr>
          <w:rFonts w:hint="eastAsia" w:ascii="仿宋_GB2312" w:eastAsia="仿宋_GB2312"/>
          <w:sz w:val="32"/>
          <w:szCs w:val="32"/>
          <w:lang w:val="en-US" w:eastAsia="zh-CN"/>
        </w:rPr>
        <w:t>规范</w:t>
      </w:r>
      <w:r>
        <w:rPr>
          <w:rFonts w:hint="eastAsia" w:ascii="仿宋_GB2312" w:eastAsia="仿宋_GB2312"/>
          <w:sz w:val="32"/>
          <w:szCs w:val="32"/>
        </w:rPr>
        <w:t>。</w:t>
      </w:r>
    </w:p>
    <w:p>
      <w:pPr>
        <w:widowControl w:val="0"/>
        <w:spacing w:line="600" w:lineRule="exact"/>
        <w:ind w:firstLine="643" w:firstLineChars="200"/>
        <w:rPr>
          <w:rFonts w:ascii="仿宋_GB2312" w:hAnsi="仿宋_GB2312" w:eastAsia="仿宋_GB2312" w:cs="仿宋_GB2312"/>
          <w:color w:val="auto"/>
          <w:kern w:val="32"/>
          <w:sz w:val="32"/>
          <w:szCs w:val="32"/>
        </w:rPr>
      </w:pPr>
      <w:r>
        <w:rPr>
          <w:rFonts w:hint="eastAsia" w:ascii="楷体_GB2312" w:hAnsi="楷体_GB2312" w:eastAsia="楷体_GB2312" w:cs="楷体_GB2312"/>
          <w:b/>
          <w:bCs/>
          <w:color w:val="auto"/>
          <w:kern w:val="32"/>
          <w:sz w:val="32"/>
          <w:szCs w:val="32"/>
          <w:lang w:val="en-US" w:eastAsia="zh-CN"/>
        </w:rPr>
        <w:t>第一条  严格审核受理条件。</w:t>
      </w:r>
      <w:r>
        <w:rPr>
          <w:rFonts w:hint="eastAsia" w:ascii="仿宋_GB2312" w:hAnsi="仿宋_GB2312" w:eastAsia="仿宋_GB2312" w:cs="仿宋_GB2312"/>
          <w:color w:val="auto"/>
          <w:kern w:val="32"/>
          <w:sz w:val="32"/>
          <w:szCs w:val="32"/>
        </w:rPr>
        <w:t>申请人自愿按照行政审批部门告知的内容,提交告知承诺书等申请材料，行政审批部门通过信用信息共享平台核查其信用记录，对符合适用条件的，应当按照告知承诺工作流程办理。</w:t>
      </w:r>
    </w:p>
    <w:p>
      <w:pPr>
        <w:widowControl w:val="0"/>
        <w:spacing w:line="600" w:lineRule="exact"/>
        <w:ind w:firstLine="643" w:firstLineChars="200"/>
        <w:rPr>
          <w:color w:val="auto"/>
          <w:sz w:val="32"/>
          <w:szCs w:val="32"/>
        </w:rPr>
      </w:pPr>
      <w:r>
        <w:rPr>
          <w:rFonts w:hint="eastAsia" w:ascii="楷体_GB2312" w:hAnsi="楷体_GB2312" w:eastAsia="楷体_GB2312" w:cs="楷体_GB2312"/>
          <w:b/>
          <w:bCs/>
          <w:color w:val="auto"/>
          <w:kern w:val="32"/>
          <w:sz w:val="32"/>
          <w:szCs w:val="32"/>
          <w:lang w:val="en-US" w:eastAsia="zh-CN"/>
        </w:rPr>
        <w:t>第二条  规范审查与决定程序。</w:t>
      </w:r>
      <w:r>
        <w:rPr>
          <w:rFonts w:hint="eastAsia" w:ascii="仿宋_GB2312" w:hAnsi="仿宋_GB2312" w:eastAsia="仿宋_GB2312" w:cs="仿宋_GB2312"/>
          <w:color w:val="auto"/>
          <w:kern w:val="32"/>
          <w:sz w:val="32"/>
          <w:szCs w:val="32"/>
        </w:rPr>
        <w:t>行政审批部门对申请人提交的告知承诺书及相关申请材料进行审查。申请人符合适用告知承诺的情形、承诺符合许可条件并按要求提交材料的,行政审批部门应当当场作出行政许可决定,相关证照批文依法送达申请人，同时将信息同步推送至行业</w:t>
      </w:r>
      <w:r>
        <w:rPr>
          <w:rFonts w:hint="eastAsia" w:ascii="仿宋_GB2312" w:hAnsi="仿宋_GB2312" w:eastAsia="仿宋_GB2312" w:cs="仿宋_GB2312"/>
          <w:color w:val="auto"/>
          <w:kern w:val="32"/>
          <w:sz w:val="32"/>
          <w:szCs w:val="32"/>
          <w:lang w:val="en-US" w:eastAsia="zh-CN"/>
        </w:rPr>
        <w:t>主管</w:t>
      </w:r>
      <w:r>
        <w:rPr>
          <w:rFonts w:hint="eastAsia" w:ascii="仿宋_GB2312" w:hAnsi="仿宋_GB2312" w:eastAsia="仿宋_GB2312" w:cs="仿宋_GB2312"/>
          <w:color w:val="auto"/>
          <w:kern w:val="32"/>
          <w:sz w:val="32"/>
          <w:szCs w:val="32"/>
        </w:rPr>
        <w:t>部门。涉及现场勘验、专家评审等特殊环节的，一律由审批前实施调整为审批决定后，统一由行业</w:t>
      </w:r>
      <w:r>
        <w:rPr>
          <w:rFonts w:hint="eastAsia" w:ascii="仿宋_GB2312" w:hAnsi="仿宋_GB2312" w:eastAsia="仿宋_GB2312" w:cs="仿宋_GB2312"/>
          <w:color w:val="auto"/>
          <w:kern w:val="32"/>
          <w:sz w:val="32"/>
          <w:szCs w:val="32"/>
          <w:lang w:val="en-US" w:eastAsia="zh-CN"/>
        </w:rPr>
        <w:t>主管</w:t>
      </w:r>
      <w:r>
        <w:rPr>
          <w:rFonts w:hint="eastAsia" w:ascii="仿宋_GB2312" w:hAnsi="仿宋_GB2312" w:eastAsia="仿宋_GB2312" w:cs="仿宋_GB2312"/>
          <w:color w:val="auto"/>
          <w:kern w:val="32"/>
          <w:sz w:val="32"/>
          <w:szCs w:val="32"/>
        </w:rPr>
        <w:t>部门</w:t>
      </w:r>
      <w:r>
        <w:rPr>
          <w:rFonts w:hint="eastAsia" w:ascii="仿宋_GB2312" w:hAnsi="仿宋_GB2312" w:eastAsia="仿宋_GB2312" w:cs="仿宋_GB2312"/>
          <w:color w:val="auto"/>
          <w:kern w:val="32"/>
          <w:sz w:val="32"/>
          <w:szCs w:val="32"/>
          <w:lang w:val="en-US" w:eastAsia="zh-CN"/>
        </w:rPr>
        <w:t>依法依规</w:t>
      </w:r>
      <w:r>
        <w:rPr>
          <w:rFonts w:hint="eastAsia" w:ascii="仿宋_GB2312" w:hAnsi="仿宋_GB2312" w:eastAsia="仿宋_GB2312" w:cs="仿宋_GB2312"/>
          <w:color w:val="auto"/>
          <w:kern w:val="32"/>
          <w:sz w:val="32"/>
          <w:szCs w:val="32"/>
        </w:rPr>
        <w:t>通过事中事后监管</w:t>
      </w:r>
      <w:r>
        <w:rPr>
          <w:rFonts w:hint="eastAsia" w:ascii="仿宋_GB2312" w:hAnsi="仿宋_GB2312" w:eastAsia="仿宋_GB2312" w:cs="仿宋_GB2312"/>
          <w:color w:val="auto"/>
          <w:kern w:val="32"/>
          <w:sz w:val="32"/>
          <w:szCs w:val="32"/>
          <w:lang w:val="en-US" w:eastAsia="zh-CN"/>
        </w:rPr>
        <w:t>和执法检查</w:t>
      </w:r>
      <w:r>
        <w:rPr>
          <w:rFonts w:hint="eastAsia" w:ascii="仿宋_GB2312" w:hAnsi="仿宋_GB2312" w:eastAsia="仿宋_GB2312" w:cs="仿宋_GB2312"/>
          <w:color w:val="auto"/>
          <w:kern w:val="32"/>
          <w:sz w:val="32"/>
          <w:szCs w:val="32"/>
        </w:rPr>
        <w:t>实施。</w:t>
      </w:r>
    </w:p>
    <w:p>
      <w:pPr>
        <w:widowControl w:val="0"/>
        <w:spacing w:line="600" w:lineRule="exact"/>
        <w:ind w:firstLine="643" w:firstLineChars="200"/>
        <w:rPr>
          <w:rFonts w:hint="eastAsia" w:ascii="仿宋_GB2312" w:hAnsi="仿宋_GB2312" w:eastAsia="仿宋_GB2312" w:cs="仿宋_GB2312"/>
          <w:color w:val="auto"/>
          <w:kern w:val="32"/>
          <w:sz w:val="32"/>
          <w:szCs w:val="32"/>
        </w:rPr>
      </w:pPr>
      <w:r>
        <w:rPr>
          <w:rFonts w:hint="eastAsia" w:ascii="楷体_GB2312" w:hAnsi="楷体_GB2312" w:eastAsia="楷体_GB2312" w:cs="楷体_GB2312"/>
          <w:b/>
          <w:bCs/>
          <w:color w:val="auto"/>
          <w:kern w:val="32"/>
          <w:sz w:val="32"/>
          <w:szCs w:val="32"/>
          <w:lang w:val="en-US" w:eastAsia="zh-CN"/>
        </w:rPr>
        <w:t>第三条  限期开展现场核查。</w:t>
      </w:r>
      <w:r>
        <w:rPr>
          <w:rFonts w:hint="eastAsia" w:ascii="仿宋_GB2312" w:hAnsi="仿宋_GB2312" w:eastAsia="仿宋_GB2312" w:cs="仿宋_GB2312"/>
          <w:color w:val="auto"/>
          <w:kern w:val="32"/>
          <w:sz w:val="32"/>
          <w:szCs w:val="32"/>
        </w:rPr>
        <w:t>行业</w:t>
      </w:r>
      <w:r>
        <w:rPr>
          <w:rFonts w:hint="eastAsia" w:ascii="仿宋_GB2312" w:hAnsi="仿宋_GB2312" w:eastAsia="仿宋_GB2312" w:cs="仿宋_GB2312"/>
          <w:color w:val="auto"/>
          <w:kern w:val="32"/>
          <w:sz w:val="32"/>
          <w:szCs w:val="32"/>
          <w:lang w:val="en-US" w:eastAsia="zh-CN"/>
        </w:rPr>
        <w:t>主管</w:t>
      </w:r>
      <w:r>
        <w:rPr>
          <w:rFonts w:hint="eastAsia" w:ascii="仿宋_GB2312" w:hAnsi="仿宋_GB2312" w:eastAsia="仿宋_GB2312" w:cs="仿宋_GB2312"/>
          <w:color w:val="auto"/>
          <w:kern w:val="32"/>
          <w:sz w:val="32"/>
          <w:szCs w:val="32"/>
        </w:rPr>
        <w:t>部门应当在行政审批部门作出准予行政许可决定后</w:t>
      </w:r>
      <w:r>
        <w:rPr>
          <w:rFonts w:hint="eastAsia" w:ascii="仿宋_GB2312" w:hAnsi="仿宋_GB2312" w:eastAsia="仿宋_GB2312" w:cs="仿宋_GB2312"/>
          <w:color w:val="auto"/>
          <w:kern w:val="32"/>
          <w:sz w:val="32"/>
          <w:szCs w:val="32"/>
          <w:lang w:val="en-US" w:eastAsia="zh-CN"/>
        </w:rPr>
        <w:t>3</w:t>
      </w:r>
      <w:r>
        <w:rPr>
          <w:rFonts w:hint="eastAsia" w:ascii="仿宋_GB2312" w:hAnsi="仿宋_GB2312" w:eastAsia="仿宋_GB2312" w:cs="仿宋_GB2312"/>
          <w:color w:val="auto"/>
          <w:kern w:val="32"/>
          <w:sz w:val="32"/>
          <w:szCs w:val="32"/>
        </w:rPr>
        <w:t>0个工作日内，对申请人承诺内容是否属实进行现场核查，依法履行事中事后监管责任。对涉及社会公共利益、第三方利益平衡的事项，原则上应当在7个工作日内进行现场核查。现场核查时限要求更短的，从其规定。行业</w:t>
      </w:r>
      <w:r>
        <w:rPr>
          <w:rFonts w:hint="eastAsia" w:ascii="仿宋_GB2312" w:hAnsi="仿宋_GB2312" w:eastAsia="仿宋_GB2312" w:cs="仿宋_GB2312"/>
          <w:color w:val="auto"/>
          <w:kern w:val="32"/>
          <w:sz w:val="32"/>
          <w:szCs w:val="32"/>
          <w:lang w:val="en-US" w:eastAsia="zh-CN"/>
        </w:rPr>
        <w:t>主管</w:t>
      </w:r>
      <w:r>
        <w:rPr>
          <w:rFonts w:hint="eastAsia" w:ascii="仿宋_GB2312" w:hAnsi="仿宋_GB2312" w:eastAsia="仿宋_GB2312" w:cs="仿宋_GB2312"/>
          <w:color w:val="auto"/>
          <w:kern w:val="32"/>
          <w:sz w:val="32"/>
          <w:szCs w:val="32"/>
        </w:rPr>
        <w:t>部门应当在核查结束后5个工作日内将现场核查信息推送至行政审批部门。</w:t>
      </w:r>
    </w:p>
    <w:p>
      <w:pPr>
        <w:widowControl w:val="0"/>
        <w:spacing w:line="600" w:lineRule="exact"/>
        <w:ind w:firstLine="643" w:firstLineChars="200"/>
        <w:rPr>
          <w:rFonts w:hint="eastAsia"/>
          <w:lang w:val="en-US" w:eastAsia="zh-CN"/>
        </w:rPr>
      </w:pPr>
      <w:r>
        <w:rPr>
          <w:rFonts w:hint="eastAsia" w:ascii="楷体_GB2312" w:hAnsi="楷体_GB2312" w:eastAsia="楷体_GB2312" w:cs="楷体_GB2312"/>
          <w:b/>
          <w:bCs/>
          <w:color w:val="auto"/>
          <w:kern w:val="32"/>
          <w:sz w:val="32"/>
          <w:szCs w:val="32"/>
          <w:lang w:val="en-US" w:eastAsia="zh-CN"/>
        </w:rPr>
        <w:t xml:space="preserve">第四条  </w:t>
      </w:r>
      <w:r>
        <w:rPr>
          <w:rFonts w:hint="eastAsia" w:ascii="楷体_GB2312" w:hAnsi="楷体_GB2312" w:eastAsia="楷体_GB2312" w:cs="楷体_GB2312"/>
          <w:b/>
          <w:bCs/>
          <w:color w:val="auto"/>
          <w:kern w:val="32"/>
          <w:sz w:val="32"/>
          <w:szCs w:val="32"/>
        </w:rPr>
        <w:t>依法</w:t>
      </w:r>
      <w:r>
        <w:rPr>
          <w:rFonts w:hint="eastAsia" w:ascii="楷体_GB2312" w:hAnsi="仿宋_GB2312" w:eastAsia="楷体_GB2312" w:cs="仿宋_GB2312"/>
          <w:b/>
          <w:bCs/>
          <w:color w:val="auto"/>
          <w:kern w:val="32"/>
          <w:sz w:val="32"/>
          <w:szCs w:val="32"/>
        </w:rPr>
        <w:t>追究违诺责任</w:t>
      </w:r>
      <w:r>
        <w:rPr>
          <w:rFonts w:hint="eastAsia" w:ascii="楷体_GB2312" w:hAnsi="楷体_GB2312" w:eastAsia="楷体_GB2312" w:cs="楷体_GB2312"/>
          <w:color w:val="auto"/>
          <w:kern w:val="32"/>
          <w:sz w:val="32"/>
          <w:szCs w:val="32"/>
        </w:rPr>
        <w:t>。</w:t>
      </w:r>
      <w:r>
        <w:rPr>
          <w:rFonts w:hint="eastAsia" w:ascii="仿宋_GB2312" w:hAnsi="仿宋_GB2312" w:eastAsia="仿宋_GB2312" w:cs="仿宋_GB2312"/>
          <w:color w:val="auto"/>
          <w:kern w:val="32"/>
          <w:sz w:val="32"/>
          <w:szCs w:val="32"/>
        </w:rPr>
        <w:t>行业</w:t>
      </w:r>
      <w:r>
        <w:rPr>
          <w:rFonts w:hint="eastAsia" w:ascii="仿宋_GB2312" w:hAnsi="仿宋_GB2312" w:eastAsia="仿宋_GB2312" w:cs="仿宋_GB2312"/>
          <w:color w:val="auto"/>
          <w:kern w:val="32"/>
          <w:sz w:val="32"/>
          <w:szCs w:val="32"/>
          <w:lang w:val="en-US" w:eastAsia="zh-CN"/>
        </w:rPr>
        <w:t>主</w:t>
      </w:r>
      <w:r>
        <w:rPr>
          <w:rFonts w:hint="eastAsia" w:ascii="仿宋_GB2312" w:hAnsi="仿宋_GB2312" w:eastAsia="仿宋_GB2312" w:cs="仿宋_GB2312"/>
          <w:color w:val="auto"/>
          <w:kern w:val="32"/>
          <w:sz w:val="32"/>
          <w:szCs w:val="32"/>
        </w:rPr>
        <w:t>管部门不得对通过告知承诺制方式办理的企业和群众采取歧视性监管措施。行业</w:t>
      </w:r>
      <w:r>
        <w:rPr>
          <w:rFonts w:hint="eastAsia" w:ascii="仿宋_GB2312" w:hAnsi="仿宋_GB2312" w:eastAsia="仿宋_GB2312" w:cs="仿宋_GB2312"/>
          <w:color w:val="auto"/>
          <w:kern w:val="32"/>
          <w:sz w:val="32"/>
          <w:szCs w:val="32"/>
          <w:lang w:val="en-US" w:eastAsia="zh-CN"/>
        </w:rPr>
        <w:t>主</w:t>
      </w:r>
      <w:r>
        <w:rPr>
          <w:rFonts w:hint="eastAsia" w:ascii="仿宋_GB2312" w:hAnsi="仿宋_GB2312" w:eastAsia="仿宋_GB2312" w:cs="仿宋_GB2312"/>
          <w:color w:val="auto"/>
          <w:kern w:val="32"/>
          <w:sz w:val="32"/>
          <w:szCs w:val="32"/>
        </w:rPr>
        <w:t>管部门在核查或日常监管中发现存在不实承诺或违反承诺情形的，责令其限期整改；逾期不整改或者整改后仍不符合条件的，应当依法依规予以查处，并及时告知行政审批部门依法撤销行政许可决定；涉嫌犯罪的，依法移送司法机关。</w:t>
      </w:r>
      <w:r>
        <w:rPr>
          <w:rFonts w:hint="eastAsia" w:ascii="仿宋_GB2312" w:hAnsi="仿宋_GB2312" w:eastAsia="仿宋_GB2312" w:cs="仿宋_GB2312"/>
          <w:color w:val="auto"/>
          <w:sz w:val="32"/>
          <w:szCs w:val="32"/>
        </w:rPr>
        <w:t>申请人未按承诺期限提交材料或所提交材料不符合要求的，</w:t>
      </w:r>
      <w:r>
        <w:rPr>
          <w:rFonts w:hint="eastAsia" w:ascii="仿宋_GB2312" w:hAnsi="仿宋_GB2312" w:eastAsia="仿宋_GB2312" w:cs="仿宋_GB2312"/>
          <w:color w:val="auto"/>
          <w:kern w:val="32"/>
          <w:sz w:val="32"/>
          <w:szCs w:val="32"/>
        </w:rPr>
        <w:t>行政</w:t>
      </w:r>
      <w:r>
        <w:rPr>
          <w:rFonts w:hint="eastAsia" w:ascii="仿宋_GB2312" w:hAnsi="仿宋_GB2312" w:eastAsia="仿宋_GB2312" w:cs="仿宋_GB2312"/>
          <w:color w:val="auto"/>
          <w:sz w:val="32"/>
          <w:szCs w:val="32"/>
        </w:rPr>
        <w:t>审批部门应当依法撤销行政许可决定，并告知行业</w:t>
      </w:r>
      <w:r>
        <w:rPr>
          <w:rFonts w:hint="eastAsia" w:ascii="仿宋_GB2312" w:hAnsi="仿宋_GB2312" w:eastAsia="仿宋_GB2312" w:cs="仿宋_GB2312"/>
          <w:color w:val="auto"/>
          <w:kern w:val="32"/>
          <w:sz w:val="32"/>
          <w:szCs w:val="32"/>
          <w:lang w:val="en-US" w:eastAsia="zh-CN"/>
        </w:rPr>
        <w:t>主</w:t>
      </w:r>
      <w:r>
        <w:rPr>
          <w:rFonts w:hint="eastAsia" w:ascii="仿宋_GB2312" w:hAnsi="仿宋_GB2312" w:eastAsia="仿宋_GB2312" w:cs="仿宋_GB2312"/>
          <w:color w:val="auto"/>
          <w:kern w:val="32"/>
          <w:sz w:val="32"/>
          <w:szCs w:val="32"/>
        </w:rPr>
        <w:t>管</w:t>
      </w:r>
      <w:r>
        <w:rPr>
          <w:rFonts w:hint="eastAsia" w:ascii="仿宋_GB2312" w:hAnsi="仿宋_GB2312" w:eastAsia="仿宋_GB2312" w:cs="仿宋_GB2312"/>
          <w:color w:val="auto"/>
          <w:sz w:val="32"/>
          <w:szCs w:val="32"/>
        </w:rPr>
        <w:t>部门。</w:t>
      </w:r>
      <w:r>
        <w:rPr>
          <w:rFonts w:hint="eastAsia" w:ascii="仿宋_GB2312" w:hAnsi="仿宋_GB2312" w:eastAsia="仿宋_GB2312" w:cs="仿宋_GB2312"/>
          <w:color w:val="auto"/>
          <w:kern w:val="32"/>
          <w:sz w:val="32"/>
          <w:szCs w:val="32"/>
        </w:rPr>
        <w:t>行业</w:t>
      </w:r>
      <w:r>
        <w:rPr>
          <w:rFonts w:hint="eastAsia" w:ascii="仿宋_GB2312" w:hAnsi="仿宋_GB2312" w:eastAsia="仿宋_GB2312" w:cs="仿宋_GB2312"/>
          <w:color w:val="auto"/>
          <w:kern w:val="32"/>
          <w:sz w:val="32"/>
          <w:szCs w:val="32"/>
          <w:lang w:val="en-US" w:eastAsia="zh-CN"/>
        </w:rPr>
        <w:t>主</w:t>
      </w:r>
      <w:r>
        <w:rPr>
          <w:rFonts w:hint="eastAsia" w:ascii="仿宋_GB2312" w:hAnsi="仿宋_GB2312" w:eastAsia="仿宋_GB2312" w:cs="仿宋_GB2312"/>
          <w:color w:val="auto"/>
          <w:kern w:val="32"/>
          <w:sz w:val="32"/>
          <w:szCs w:val="32"/>
        </w:rPr>
        <w:t>管部门应当将申请人失信信息推送至河北省信用信息共享平台，作为分级分类监管依据。</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2000000000000000000"/>
    <w:charset w:val="86"/>
    <w:family w:val="script"/>
    <w:pitch w:val="default"/>
    <w:sig w:usb0="00000000" w:usb1="00000000" w:usb2="00082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2NWI1OTVkODExNTBmZTYwYjdjZTM1ZTkwMGU2N2IifQ=="/>
  </w:docVars>
  <w:rsids>
    <w:rsidRoot w:val="078402A0"/>
    <w:rsid w:val="03726617"/>
    <w:rsid w:val="078402A0"/>
    <w:rsid w:val="09565C00"/>
    <w:rsid w:val="10B0144C"/>
    <w:rsid w:val="11D328A2"/>
    <w:rsid w:val="194E3AE5"/>
    <w:rsid w:val="1BD650FE"/>
    <w:rsid w:val="26EF10B2"/>
    <w:rsid w:val="278B7B24"/>
    <w:rsid w:val="2A4361E0"/>
    <w:rsid w:val="2A7B152F"/>
    <w:rsid w:val="322C1F03"/>
    <w:rsid w:val="38830004"/>
    <w:rsid w:val="416F3BBA"/>
    <w:rsid w:val="4521308C"/>
    <w:rsid w:val="4AE42F23"/>
    <w:rsid w:val="4BE64CE0"/>
    <w:rsid w:val="54355C7A"/>
    <w:rsid w:val="54C618EB"/>
    <w:rsid w:val="54F90D84"/>
    <w:rsid w:val="5DE770DE"/>
    <w:rsid w:val="7D08517B"/>
    <w:rsid w:val="7DD60327"/>
    <w:rsid w:val="7F3F3C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basedOn w:val="1"/>
    <w:qFormat/>
    <w:uiPriority w:val="0"/>
    <w:pPr>
      <w:autoSpaceDE w:val="0"/>
      <w:autoSpaceDN w:val="0"/>
      <w:adjustRightInd w:val="0"/>
      <w:jc w:val="left"/>
    </w:pPr>
    <w:rPr>
      <w:rFonts w:ascii="方正仿宋_GBK" w:hAnsi="方正仿宋_GBK" w:eastAsia="仿宋"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891</Words>
  <Characters>892</Characters>
  <Lines>0</Lines>
  <Paragraphs>0</Paragraphs>
  <TotalTime>0</TotalTime>
  <ScaleCrop>false</ScaleCrop>
  <LinksUpToDate>false</LinksUpToDate>
  <CharactersWithSpaces>906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2023-09-01T05:45:00Z</dcterms:created>
  <dc:creator>zhifaju</dc:creator>
  <cp:lastModifiedBy>Administrator</cp:lastModifiedBy>
  <cp:lastPrinted>2023-09-06T07:07:00Z</cp:lastPrinted>
  <dcterms:modified xsi:type="dcterms:W3CDTF">2023-09-06T09:20:30Z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28AC13BD39954158941EA7D1239BDE2F_13</vt:lpwstr>
  </property>
</Properties>
</file>