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8640"/>
        </w:tabs>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s="黑体"/>
          <w:color w:val="000000"/>
          <w:sz w:val="44"/>
          <w:szCs w:val="44"/>
        </w:rPr>
      </w:pPr>
      <w:r>
        <w:rPr>
          <w:rFonts w:ascii="仿宋_GB2312" w:hAnsi="宋体" w:eastAsia="仿宋_GB2312"/>
          <w:sz w:val="44"/>
          <w:szCs w:val="4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36195</wp:posOffset>
                </wp:positionV>
                <wp:extent cx="5615940" cy="635"/>
                <wp:effectExtent l="0" t="0" r="0" b="0"/>
                <wp:wrapNone/>
                <wp:docPr id="1" name="直线 2"/>
                <wp:cNvGraphicFramePr/>
                <a:graphic xmlns:a="http://schemas.openxmlformats.org/drawingml/2006/main">
                  <a:graphicData uri="http://schemas.microsoft.com/office/word/2010/wordprocessingShape">
                    <wps:wsp>
                      <wps:cNvCnPr/>
                      <wps:spPr>
                        <a:xfrm>
                          <a:off x="0" y="0"/>
                          <a:ext cx="5615940" cy="635"/>
                        </a:xfrm>
                        <a:prstGeom prst="line">
                          <a:avLst/>
                        </a:prstGeom>
                        <a:ln w="19050">
                          <a:noFill/>
                        </a:ln>
                      </wps:spPr>
                      <wps:bodyPr upright="1"/>
                    </wps:wsp>
                  </a:graphicData>
                </a:graphic>
              </wp:anchor>
            </w:drawing>
          </mc:Choice>
          <mc:Fallback>
            <w:pict>
              <v:line id="直线 2" o:spid="_x0000_s1026" o:spt="20" style="position:absolute;left:0pt;margin-left:0pt;margin-top:2.85pt;height:0.05pt;width:442.2pt;z-index:251660288;mso-width-relative:page;mso-height-relative:page;" filled="f" stroked="f" coordsize="21600,21600" o:gfxdata="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Bw6f/XSAAAABAEAAA8AAAAAAAAAAQAgAAAA&#10;IgAAAGRycy9kb3ducmV2LnhtbFBLAQIUABQAAAAIAIdO4kDGUf2NnwEAADIDAAAOAAAAAAAAAAEA&#10;IAAAACEBAABkcnMvZTJvRG9jLnhtbFBLBQYAAAAABgAGAFkBAAAyBQAAAAA=&#10;">
                <v:fill on="f" focussize="0,0"/>
                <v:stroke on="f" weight="1.5pt"/>
                <v:imagedata o:title=""/>
                <o:lock v:ext="edit" aspectratio="f"/>
              </v:line>
            </w:pict>
          </mc:Fallback>
        </mc:AlternateContent>
      </w:r>
      <w:r>
        <w:rPr>
          <w:rFonts w:hint="eastAsia" w:ascii="方正小标宋简体" w:hAnsi="黑体" w:eastAsia="方正小标宋简体" w:cs="黑体"/>
          <w:color w:val="000000"/>
          <w:sz w:val="44"/>
          <w:szCs w:val="44"/>
        </w:rPr>
        <w:t>河北省</w:t>
      </w:r>
      <w:r>
        <w:rPr>
          <w:rFonts w:hint="eastAsia" w:ascii="方正小标宋简体" w:hAnsi="黑体" w:eastAsia="方正小标宋简体" w:cs="黑体"/>
          <w:color w:val="000000"/>
          <w:sz w:val="44"/>
          <w:szCs w:val="44"/>
          <w:lang w:val="en-US" w:eastAsia="zh-CN"/>
        </w:rPr>
        <w:t>演出经济机构</w:t>
      </w:r>
      <w:r>
        <w:rPr>
          <w:rFonts w:hint="eastAsia" w:ascii="方正小标宋简体" w:hAnsi="黑体" w:eastAsia="方正小标宋简体" w:cs="黑体"/>
          <w:color w:val="000000"/>
          <w:sz w:val="44"/>
          <w:szCs w:val="44"/>
        </w:rPr>
        <w:t>信用评价</w:t>
      </w:r>
    </w:p>
    <w:p>
      <w:pPr>
        <w:keepNext w:val="0"/>
        <w:keepLines w:val="0"/>
        <w:pageBreakBefore w:val="0"/>
        <w:widowControl w:val="0"/>
        <w:tabs>
          <w:tab w:val="left" w:pos="8640"/>
        </w:tabs>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s="黑体"/>
          <w:color w:val="000000"/>
          <w:sz w:val="44"/>
          <w:szCs w:val="44"/>
        </w:rPr>
      </w:pPr>
      <w:r>
        <w:rPr>
          <w:rFonts w:hint="eastAsia" w:ascii="方正小标宋简体" w:hAnsi="黑体" w:eastAsia="方正小标宋简体" w:cs="黑体"/>
          <w:color w:val="000000"/>
          <w:sz w:val="44"/>
          <w:szCs w:val="44"/>
        </w:rPr>
        <w:t>管理实施细则（试行）</w:t>
      </w:r>
    </w:p>
    <w:p>
      <w:pPr>
        <w:pStyle w:val="2"/>
        <w:jc w:val="center"/>
        <w:rPr>
          <w:rFonts w:hint="eastAsia" w:ascii="楷体_GB2312" w:hAnsi="楷体_GB2312" w:eastAsia="楷体_GB2312" w:cs="楷体_GB2312"/>
          <w:sz w:val="32"/>
          <w:szCs w:val="32"/>
          <w:highlight w:val="none"/>
          <w:lang w:eastAsia="zh-CN"/>
        </w:rPr>
      </w:pPr>
      <w:bookmarkStart w:id="0" w:name="_GoBack"/>
      <w:bookmarkEnd w:id="0"/>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黑体" w:hAnsi="黑体" w:eastAsia="黑体"/>
          <w:color w:val="000000"/>
          <w:sz w:val="32"/>
          <w:szCs w:val="32"/>
        </w:rPr>
      </w:pPr>
    </w:p>
    <w:p>
      <w:pPr>
        <w:pStyle w:val="6"/>
        <w:keepNext w:val="0"/>
        <w:keepLines w:val="0"/>
        <w:pageBreakBefore w:val="0"/>
        <w:widowControl/>
        <w:numPr>
          <w:ilvl w:val="0"/>
          <w:numId w:val="2"/>
        </w:numPr>
        <w:kinsoku/>
        <w:wordWrap/>
        <w:overflowPunct/>
        <w:topLinePunct w:val="0"/>
        <w:autoSpaceDE/>
        <w:autoSpaceDN/>
        <w:bidi w:val="0"/>
        <w:adjustRightInd/>
        <w:snapToGrid/>
        <w:spacing w:line="40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rPr>
        <w:t>总</w:t>
      </w:r>
      <w:r>
        <w:rPr>
          <w:rFonts w:ascii="黑体" w:hAnsi="黑体" w:eastAsia="黑体"/>
          <w:color w:val="000000"/>
          <w:sz w:val="32"/>
          <w:szCs w:val="32"/>
        </w:rPr>
        <w:t xml:space="preserve"> </w:t>
      </w:r>
      <w:r>
        <w:rPr>
          <w:rFonts w:hint="eastAsia" w:ascii="黑体" w:hAnsi="黑体" w:eastAsia="黑体"/>
          <w:color w:val="000000"/>
          <w:sz w:val="32"/>
          <w:szCs w:val="32"/>
        </w:rPr>
        <w:t>则</w:t>
      </w:r>
    </w:p>
    <w:p>
      <w:pPr>
        <w:pStyle w:val="6"/>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hint="eastAsia" w:ascii="黑体" w:hAnsi="黑体" w:eastAsia="黑体"/>
          <w:color w:val="000000"/>
          <w:sz w:val="32"/>
          <w:szCs w:val="32"/>
        </w:rPr>
      </w:pP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left"/>
        <w:textAlignment w:val="auto"/>
        <w:rPr>
          <w:rFonts w:ascii="仿宋_GB2312" w:hAnsi="仿宋" w:eastAsia="仿宋_GB2312"/>
          <w:color w:val="000000"/>
          <w:sz w:val="32"/>
          <w:szCs w:val="32"/>
        </w:rPr>
      </w:pPr>
      <w:r>
        <w:rPr>
          <w:rFonts w:hint="eastAsia" w:ascii="黑体" w:hAnsi="黑体" w:eastAsia="黑体"/>
          <w:color w:val="000000"/>
          <w:sz w:val="32"/>
          <w:szCs w:val="32"/>
        </w:rPr>
        <w:t>【制定</w:t>
      </w:r>
      <w:r>
        <w:rPr>
          <w:rFonts w:ascii="黑体" w:hAnsi="黑体" w:eastAsia="黑体"/>
          <w:color w:val="000000"/>
          <w:sz w:val="32"/>
          <w:szCs w:val="32"/>
        </w:rPr>
        <w:t>目的</w:t>
      </w:r>
      <w:r>
        <w:rPr>
          <w:rFonts w:hint="eastAsia" w:ascii="黑体" w:hAnsi="黑体" w:eastAsia="黑体"/>
          <w:color w:val="000000"/>
          <w:sz w:val="32"/>
          <w:szCs w:val="32"/>
        </w:rPr>
        <w:t>】</w:t>
      </w:r>
      <w:r>
        <w:rPr>
          <w:rFonts w:hint="eastAsia" w:ascii="仿宋_GB2312" w:hAnsi="仿宋" w:eastAsia="仿宋_GB2312"/>
          <w:color w:val="000000"/>
          <w:sz w:val="32"/>
          <w:szCs w:val="32"/>
        </w:rPr>
        <w:t>为推进河北省文化和旅游行业信用评价工作，加强河北省</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的动态管理，建立以信用为基础的新型监管机制，引导</w:t>
      </w:r>
      <w:r>
        <w:rPr>
          <w:rFonts w:hint="eastAsia" w:ascii="仿宋_GB2312" w:hAnsi="仿宋" w:eastAsia="仿宋_GB2312"/>
          <w:color w:val="000000"/>
          <w:sz w:val="32"/>
          <w:szCs w:val="32"/>
          <w:lang w:val="en-US" w:eastAsia="zh-CN"/>
        </w:rPr>
        <w:t>演出经济机构和</w:t>
      </w:r>
      <w:r>
        <w:rPr>
          <w:rFonts w:hint="eastAsia" w:ascii="仿宋_GB2312" w:hAnsi="仿宋" w:eastAsia="仿宋_GB2312"/>
          <w:color w:val="000000"/>
          <w:sz w:val="32"/>
          <w:szCs w:val="32"/>
        </w:rPr>
        <w:t>从业者依法从业、诚实守信，根据《营业性演出管理条例》</w:t>
      </w:r>
      <w:r>
        <w:rPr>
          <w:rFonts w:hint="eastAsia" w:ascii="仿宋_GB2312" w:hAnsi="仿宋" w:eastAsia="仿宋_GB2312"/>
          <w:color w:val="000000"/>
          <w:sz w:val="32"/>
          <w:szCs w:val="32"/>
          <w:lang w:eastAsia="zh-CN"/>
        </w:rPr>
        <w:t>（国务院令</w:t>
      </w:r>
      <w:r>
        <w:rPr>
          <w:rFonts w:hint="eastAsia" w:ascii="仿宋_GB2312" w:hAnsi="仿宋" w:eastAsia="仿宋_GB2312"/>
          <w:color w:val="000000"/>
          <w:sz w:val="32"/>
          <w:szCs w:val="32"/>
          <w:lang w:val="en-US" w:eastAsia="zh-CN"/>
        </w:rPr>
        <w:t xml:space="preserve"> 第528号</w:t>
      </w:r>
      <w:r>
        <w:rPr>
          <w:rFonts w:hint="eastAsia" w:ascii="仿宋_GB2312" w:hAnsi="仿宋" w:eastAsia="仿宋_GB2312"/>
          <w:color w:val="000000"/>
          <w:sz w:val="32"/>
          <w:szCs w:val="32"/>
          <w:lang w:eastAsia="zh-CN"/>
        </w:rPr>
        <w:t>）</w:t>
      </w:r>
      <w:r>
        <w:rPr>
          <w:rFonts w:hint="eastAsia" w:ascii="仿宋_GB2312" w:hAnsi="仿宋" w:eastAsia="仿宋_GB2312"/>
          <w:color w:val="000000"/>
          <w:sz w:val="32"/>
          <w:szCs w:val="32"/>
          <w:lang w:val="en-US" w:eastAsia="zh-CN"/>
        </w:rPr>
        <w:t xml:space="preserve"> </w:t>
      </w:r>
      <w:r>
        <w:rPr>
          <w:rFonts w:hint="eastAsia" w:ascii="仿宋_GB2312" w:hAnsi="仿宋" w:eastAsia="仿宋_GB2312"/>
          <w:color w:val="000000"/>
          <w:sz w:val="32"/>
          <w:szCs w:val="32"/>
        </w:rPr>
        <w:t>《营业性演出管理条例实施细则》</w:t>
      </w:r>
      <w:r>
        <w:rPr>
          <w:rFonts w:hint="eastAsia" w:ascii="仿宋_GB2312" w:hAnsi="仿宋" w:eastAsia="仿宋_GB2312"/>
          <w:color w:val="000000"/>
          <w:sz w:val="32"/>
          <w:szCs w:val="32"/>
          <w:lang w:eastAsia="zh-CN"/>
        </w:rPr>
        <w:t>（</w:t>
      </w:r>
      <w:r>
        <w:rPr>
          <w:rFonts w:hint="eastAsia" w:ascii="仿宋_GB2312" w:hAnsi="仿宋" w:eastAsia="仿宋_GB2312"/>
          <w:color w:val="000000"/>
          <w:sz w:val="32"/>
          <w:szCs w:val="32"/>
          <w:lang w:val="en-US" w:eastAsia="zh-CN"/>
        </w:rPr>
        <w:t>文化和旅游令第9号</w:t>
      </w:r>
      <w:r>
        <w:rPr>
          <w:rFonts w:hint="eastAsia" w:ascii="仿宋_GB2312" w:hAnsi="仿宋" w:eastAsia="仿宋_GB2312"/>
          <w:color w:val="000000"/>
          <w:sz w:val="32"/>
          <w:szCs w:val="32"/>
          <w:lang w:eastAsia="zh-CN"/>
        </w:rPr>
        <w:t>）</w:t>
      </w:r>
      <w:r>
        <w:rPr>
          <w:rFonts w:hint="eastAsia" w:ascii="仿宋_GB2312" w:hAnsi="仿宋" w:eastAsia="仿宋_GB2312"/>
          <w:color w:val="000000"/>
          <w:sz w:val="32"/>
          <w:szCs w:val="32"/>
          <w:lang w:val="en-US" w:eastAsia="zh-CN"/>
        </w:rPr>
        <w:t>以及</w:t>
      </w:r>
      <w:r>
        <w:rPr>
          <w:rFonts w:hint="eastAsia" w:ascii="仿宋_GB2312" w:hAnsi="仿宋" w:eastAsia="仿宋_GB2312"/>
          <w:color w:val="000000"/>
          <w:sz w:val="32"/>
          <w:szCs w:val="32"/>
        </w:rPr>
        <w:t>文化和旅游部《文化和旅游市场信用管理规定》等法律法规和有关要求，结合本省实际，制定本实施细则。</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left"/>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w:t>
      </w:r>
      <w:r>
        <w:rPr>
          <w:rFonts w:hint="eastAsia" w:ascii="黑体" w:hAnsi="黑体" w:eastAsia="黑体"/>
          <w:color w:val="000000"/>
          <w:sz w:val="32"/>
          <w:szCs w:val="32"/>
        </w:rPr>
        <w:t>适用范围</w:t>
      </w:r>
      <w:r>
        <w:rPr>
          <w:rFonts w:hint="eastAsia" w:ascii="仿宋_GB2312" w:hAnsi="仿宋" w:eastAsia="仿宋_GB2312"/>
          <w:color w:val="000000"/>
          <w:sz w:val="32"/>
          <w:szCs w:val="32"/>
        </w:rPr>
        <w:t>】本实施细则所称</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，是指在</w:t>
      </w:r>
      <w:r>
        <w:rPr>
          <w:rFonts w:hint="eastAsia" w:ascii="仿宋_GB2312" w:hAnsi="仿宋" w:eastAsia="仿宋_GB2312"/>
          <w:color w:val="000000"/>
          <w:sz w:val="32"/>
          <w:szCs w:val="32"/>
          <w:lang w:val="en-US" w:eastAsia="zh-CN"/>
        </w:rPr>
        <w:t>河北</w:t>
      </w:r>
      <w:r>
        <w:rPr>
          <w:rFonts w:hint="eastAsia" w:ascii="仿宋_GB2312" w:hAnsi="仿宋" w:eastAsia="仿宋_GB2312"/>
          <w:color w:val="000000"/>
          <w:sz w:val="32"/>
          <w:szCs w:val="32"/>
        </w:rPr>
        <w:t>省内依法注册的，具备</w:t>
      </w:r>
      <w:r>
        <w:rPr>
          <w:rFonts w:hint="eastAsia" w:ascii="仿宋_GB2312" w:hAnsi="仿宋" w:eastAsia="仿宋_GB2312"/>
          <w:color w:val="000000"/>
          <w:sz w:val="32"/>
          <w:szCs w:val="32"/>
          <w:lang w:val="en-US" w:eastAsia="zh-CN"/>
        </w:rPr>
        <w:t>3</w:t>
      </w:r>
      <w:r>
        <w:rPr>
          <w:rFonts w:hint="eastAsia" w:ascii="仿宋_GB2312" w:hAnsi="仿宋" w:eastAsia="仿宋_GB2312"/>
          <w:color w:val="000000"/>
          <w:sz w:val="32"/>
          <w:szCs w:val="32"/>
        </w:rPr>
        <w:t>名以上专职演出经纪人员和与其业务相适应的资金，获得营业性演出许可证</w:t>
      </w:r>
      <w:r>
        <w:rPr>
          <w:rFonts w:hint="eastAsia" w:ascii="仿宋_GB2312" w:hAnsi="仿宋" w:eastAsia="仿宋_GB2312"/>
          <w:color w:val="000000"/>
          <w:sz w:val="32"/>
          <w:szCs w:val="32"/>
          <w:lang w:eastAsia="zh-CN"/>
        </w:rPr>
        <w:t>（</w:t>
      </w:r>
      <w:r>
        <w:rPr>
          <w:rFonts w:hint="eastAsia" w:ascii="仿宋_GB2312" w:hAnsi="仿宋" w:eastAsia="仿宋_GB2312"/>
          <w:color w:val="000000"/>
          <w:sz w:val="32"/>
          <w:szCs w:val="32"/>
          <w:lang w:val="en-US" w:eastAsia="zh-CN"/>
        </w:rPr>
        <w:t>含网络表演</w:t>
      </w:r>
      <w:r>
        <w:rPr>
          <w:rFonts w:hint="eastAsia" w:ascii="仿宋_GB2312" w:hAnsi="仿宋" w:eastAsia="仿宋_GB2312"/>
          <w:color w:val="000000"/>
          <w:sz w:val="32"/>
          <w:szCs w:val="32"/>
          <w:lang w:eastAsia="zh-CN"/>
        </w:rPr>
        <w:t>）</w:t>
      </w:r>
      <w:r>
        <w:rPr>
          <w:rFonts w:hint="eastAsia" w:ascii="仿宋_GB2312" w:hAnsi="仿宋" w:eastAsia="仿宋_GB2312"/>
          <w:color w:val="000000"/>
          <w:sz w:val="32"/>
          <w:szCs w:val="32"/>
        </w:rPr>
        <w:t>，能从事演出组织、制作、营销等经营活动，以及演出居间、代理、行纪和演员签约、推广、代理等经纪活动的经营单位。</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w:t>
      </w:r>
      <w:r>
        <w:rPr>
          <w:rFonts w:hint="eastAsia" w:ascii="黑体" w:hAnsi="黑体" w:eastAsia="黑体"/>
          <w:color w:val="000000"/>
          <w:sz w:val="32"/>
          <w:szCs w:val="32"/>
        </w:rPr>
        <w:t>工作原则</w:t>
      </w:r>
      <w:r>
        <w:rPr>
          <w:rFonts w:hint="eastAsia" w:ascii="仿宋_GB2312" w:hAnsi="仿宋" w:eastAsia="仿宋_GB2312"/>
          <w:color w:val="000000"/>
          <w:sz w:val="32"/>
          <w:szCs w:val="32"/>
        </w:rPr>
        <w:t>】本省</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信用评价管理工作应当遵循</w:t>
      </w:r>
      <w:r>
        <w:rPr>
          <w:rFonts w:hint="eastAsia" w:ascii="仿宋_GB2312" w:hAnsi="仿宋" w:eastAsia="仿宋_GB2312"/>
          <w:color w:val="000000"/>
          <w:sz w:val="32"/>
          <w:szCs w:val="32"/>
          <w:lang w:val="en-US" w:eastAsia="zh-CN"/>
        </w:rPr>
        <w:t>以下原则</w:t>
      </w:r>
      <w:r>
        <w:rPr>
          <w:rFonts w:hint="eastAsia" w:ascii="仿宋_GB2312" w:hAnsi="仿宋" w:eastAsia="仿宋_GB2312"/>
          <w:color w:val="000000"/>
          <w:sz w:val="32"/>
          <w:szCs w:val="32"/>
          <w:lang w:eastAsia="zh-CN"/>
        </w:rPr>
        <w:t>：</w:t>
      </w:r>
    </w:p>
    <w:p>
      <w:pPr>
        <w:pStyle w:val="6"/>
        <w:keepNext w:val="0"/>
        <w:keepLines w:val="0"/>
        <w:pageBreakBefore w:val="0"/>
        <w:widowControl/>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lang w:eastAsia="zh-CN"/>
        </w:rPr>
        <w:t>综合性。多维度选取评价指标，综合反映</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lang w:eastAsia="zh-CN"/>
        </w:rPr>
        <w:t>的信用水平。</w:t>
      </w:r>
    </w:p>
    <w:p>
      <w:pPr>
        <w:pStyle w:val="6"/>
        <w:keepNext w:val="0"/>
        <w:keepLines w:val="0"/>
        <w:pageBreakBefore w:val="0"/>
        <w:widowControl/>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lang w:eastAsia="zh-CN"/>
        </w:rPr>
        <w:t>引导性。围绕</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lang w:eastAsia="zh-CN"/>
        </w:rPr>
        <w:t>重点监管领域选取指标，通过评价结果的公开、公示，引导、规范</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lang w:eastAsia="zh-CN"/>
        </w:rPr>
        <w:t>合法经营，提升全省</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lang w:eastAsia="zh-CN"/>
        </w:rPr>
        <w:t>信用水平。</w:t>
      </w:r>
    </w:p>
    <w:p>
      <w:pPr>
        <w:pStyle w:val="6"/>
        <w:keepNext w:val="0"/>
        <w:keepLines w:val="0"/>
        <w:pageBreakBefore w:val="0"/>
        <w:widowControl/>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lang w:eastAsia="zh-CN"/>
        </w:rPr>
        <w:t>专业性。评价以公共信用信息为基础，以行业信息为重点，满足行业精准监管需要。</w:t>
      </w:r>
    </w:p>
    <w:p>
      <w:pPr>
        <w:pStyle w:val="6"/>
        <w:keepNext w:val="0"/>
        <w:keepLines w:val="0"/>
        <w:pageBreakBefore w:val="0"/>
        <w:widowControl/>
        <w:numPr>
          <w:ilvl w:val="0"/>
          <w:numId w:val="4"/>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lang w:eastAsia="zh-CN"/>
        </w:rPr>
        <w:t>可得性。在设计指标</w:t>
      </w:r>
      <w:r>
        <w:rPr>
          <w:rFonts w:hint="eastAsia" w:ascii="仿宋_GB2312" w:hAnsi="仿宋" w:eastAsia="仿宋_GB2312"/>
          <w:color w:val="000000"/>
          <w:sz w:val="32"/>
          <w:szCs w:val="32"/>
          <w:lang w:val="en-US" w:eastAsia="zh-CN"/>
        </w:rPr>
        <w:t>时</w:t>
      </w:r>
      <w:r>
        <w:rPr>
          <w:rFonts w:hint="eastAsia" w:ascii="仿宋_GB2312" w:hAnsi="仿宋" w:eastAsia="仿宋_GB2312"/>
          <w:color w:val="000000"/>
          <w:sz w:val="32"/>
          <w:szCs w:val="32"/>
          <w:lang w:eastAsia="zh-CN"/>
        </w:rPr>
        <w:t>考虑数据来源。</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color w:val="000000"/>
          <w:sz w:val="32"/>
          <w:szCs w:val="32"/>
        </w:rPr>
      </w:pPr>
      <w:r>
        <w:rPr>
          <w:rFonts w:hint="eastAsia" w:ascii="黑体" w:hAnsi="黑体" w:eastAsia="黑体"/>
          <w:color w:val="000000"/>
          <w:sz w:val="32"/>
          <w:szCs w:val="32"/>
        </w:rPr>
        <w:t>【部门</w:t>
      </w:r>
      <w:r>
        <w:rPr>
          <w:rFonts w:ascii="黑体" w:hAnsi="黑体" w:eastAsia="黑体"/>
          <w:color w:val="000000"/>
          <w:sz w:val="32"/>
          <w:szCs w:val="32"/>
        </w:rPr>
        <w:t>职责</w:t>
      </w:r>
      <w:r>
        <w:rPr>
          <w:rFonts w:hint="eastAsia" w:ascii="黑体" w:hAnsi="黑体" w:eastAsia="黑体"/>
          <w:color w:val="000000"/>
          <w:sz w:val="32"/>
          <w:szCs w:val="32"/>
        </w:rPr>
        <w:t>】</w:t>
      </w:r>
      <w:r>
        <w:rPr>
          <w:rFonts w:hint="eastAsia" w:ascii="仿宋_GB2312" w:hAnsi="仿宋" w:eastAsia="仿宋_GB2312"/>
          <w:color w:val="000000"/>
          <w:sz w:val="32"/>
          <w:szCs w:val="32"/>
        </w:rPr>
        <w:t>省级文化和旅游主管部门负责组织开展全省</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信用评价，制定发布全省统一的信用评价方法、标准和指标体系，建设省级文化和旅游行业信用信息网，依据</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信用评价结果开展分级分类监管工作。</w:t>
      </w:r>
    </w:p>
    <w:p>
      <w:pPr>
        <w:pStyle w:val="6"/>
        <w:keepNext w:val="0"/>
        <w:keepLines w:val="0"/>
        <w:pageBreakBefore w:val="0"/>
        <w:widowControl/>
        <w:kinsoku/>
        <w:wordWrap/>
        <w:overflowPunct/>
        <w:topLinePunct w:val="0"/>
        <w:autoSpaceDE/>
        <w:autoSpaceDN/>
        <w:bidi w:val="0"/>
        <w:adjustRightInd/>
        <w:snapToGrid/>
        <w:spacing w:line="600" w:lineRule="exact"/>
        <w:ind w:firstLine="707" w:firstLineChars="221"/>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市、县（市、区）级文化和旅游主管部门负责及时归集、上报</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信用评价所需的信用数据</w:t>
      </w:r>
      <w:r>
        <w:rPr>
          <w:rFonts w:hint="eastAsia" w:ascii="仿宋_GB2312" w:hAnsi="仿宋" w:eastAsia="仿宋_GB2312"/>
          <w:color w:val="000000"/>
          <w:sz w:val="32"/>
          <w:szCs w:val="32"/>
          <w:lang w:val="en-US" w:eastAsia="zh-CN"/>
        </w:rPr>
        <w:t>资料</w:t>
      </w:r>
      <w:r>
        <w:rPr>
          <w:rFonts w:hint="eastAsia" w:ascii="仿宋_GB2312" w:hAnsi="仿宋" w:eastAsia="仿宋_GB2312"/>
          <w:color w:val="000000"/>
          <w:sz w:val="32"/>
          <w:szCs w:val="32"/>
        </w:rPr>
        <w:t>，依申请对市场主体信用评价结果进行复核，负责辖区内信用分级分类监管，以及公共信用产品和行业信用产品的落地应用。</w:t>
      </w:r>
    </w:p>
    <w:p>
      <w:pPr>
        <w:pStyle w:val="6"/>
        <w:keepNext w:val="0"/>
        <w:keepLines w:val="0"/>
        <w:pageBreakBefore w:val="0"/>
        <w:widowControl/>
        <w:kinsoku/>
        <w:wordWrap/>
        <w:overflowPunct/>
        <w:topLinePunct w:val="0"/>
        <w:autoSpaceDE/>
        <w:autoSpaceDN/>
        <w:bidi w:val="0"/>
        <w:adjustRightInd/>
        <w:snapToGrid/>
        <w:spacing w:line="400" w:lineRule="exact"/>
        <w:ind w:firstLine="707" w:firstLineChars="221"/>
        <w:jc w:val="both"/>
        <w:textAlignment w:val="auto"/>
        <w:rPr>
          <w:rFonts w:ascii="仿宋_GB2312" w:hAnsi="仿宋" w:eastAsia="仿宋_GB2312"/>
          <w:color w:val="000000"/>
          <w:sz w:val="32"/>
          <w:szCs w:val="32"/>
        </w:rPr>
      </w:pP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黑体" w:hAnsi="黑体" w:eastAsia="黑体"/>
          <w:bCs/>
          <w:color w:val="000000"/>
          <w:sz w:val="32"/>
          <w:szCs w:val="32"/>
        </w:rPr>
      </w:pPr>
      <w:r>
        <w:rPr>
          <w:rFonts w:hint="eastAsia" w:ascii="黑体" w:hAnsi="黑体" w:eastAsia="黑体"/>
          <w:bCs/>
          <w:color w:val="000000"/>
          <w:sz w:val="32"/>
          <w:szCs w:val="32"/>
        </w:rPr>
        <w:t>第二章 信用评价</w:t>
      </w:r>
    </w:p>
    <w:p>
      <w:pPr>
        <w:pStyle w:val="6"/>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ascii="仿宋_GB2312" w:hAnsi="仿宋" w:eastAsia="仿宋_GB2312"/>
          <w:color w:val="000000"/>
          <w:sz w:val="32"/>
          <w:szCs w:val="32"/>
        </w:rPr>
      </w:pPr>
    </w:p>
    <w:p>
      <w:pPr>
        <w:pStyle w:val="6"/>
        <w:keepNext w:val="0"/>
        <w:keepLines w:val="0"/>
        <w:pageBreakBefore w:val="0"/>
        <w:numPr>
          <w:ilvl w:val="0"/>
          <w:numId w:val="3"/>
        </w:numPr>
        <w:kinsoku/>
        <w:wordWrap/>
        <w:overflowPunct/>
        <w:topLinePunct w:val="0"/>
        <w:autoSpaceDE/>
        <w:autoSpaceDN/>
        <w:bidi w:val="0"/>
        <w:adjustRightInd/>
        <w:snapToGrid/>
        <w:spacing w:line="600" w:lineRule="exact"/>
        <w:jc w:val="both"/>
        <w:textAlignment w:val="auto"/>
        <w:rPr>
          <w:rFonts w:ascii="黑体" w:hAnsi="黑体" w:eastAsia="黑体"/>
          <w:color w:val="000000"/>
          <w:sz w:val="32"/>
          <w:szCs w:val="32"/>
        </w:rPr>
      </w:pPr>
      <w:r>
        <w:rPr>
          <w:rFonts w:hint="eastAsia" w:ascii="黑体" w:hAnsi="黑体" w:eastAsia="黑体"/>
          <w:color w:val="000000"/>
          <w:sz w:val="32"/>
          <w:szCs w:val="32"/>
        </w:rPr>
        <w:t>【评价方法】</w:t>
      </w:r>
      <w:r>
        <w:rPr>
          <w:rFonts w:hint="eastAsia" w:ascii="仿宋_GB2312" w:hAnsi="仿宋" w:eastAsia="仿宋_GB2312"/>
          <w:color w:val="000000"/>
          <w:sz w:val="32"/>
          <w:szCs w:val="32"/>
        </w:rPr>
        <w:t>以全国信用信息共享平台（河北）归集的公共信用信息以及我省各级文化和旅游行业主管部门在履行职责过程中产生和掌握的信用信息为依据，结合</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自行上报数据，按照本细则规定的分类标准，构建信用评价模型，</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信用评价方法采用等级熔断和指标评分相结合的方式。</w:t>
      </w:r>
    </w:p>
    <w:p>
      <w:pPr>
        <w:pStyle w:val="6"/>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（一）当</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信用指标数值中出现</w:t>
      </w:r>
      <w:r>
        <w:rPr>
          <w:rFonts w:hint="eastAsia" w:ascii="仿宋_GB2312" w:hAnsi="仿宋" w:eastAsia="仿宋_GB2312"/>
          <w:color w:val="000000"/>
          <w:sz w:val="32"/>
          <w:szCs w:val="32"/>
          <w:lang w:val="en-US" w:eastAsia="zh-CN"/>
        </w:rPr>
        <w:t>任意一条</w:t>
      </w:r>
      <w:r>
        <w:rPr>
          <w:rFonts w:hint="eastAsia" w:ascii="仿宋_GB2312" w:hAnsi="仿宋" w:eastAsia="仿宋_GB2312"/>
          <w:color w:val="000000"/>
          <w:sz w:val="32"/>
          <w:szCs w:val="32"/>
        </w:rPr>
        <w:t>等级熔断指标时，直接将</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定为最低</w:t>
      </w:r>
      <w:r>
        <w:rPr>
          <w:rFonts w:hint="eastAsia" w:ascii="仿宋_GB2312" w:hAnsi="仿宋" w:eastAsia="仿宋_GB2312"/>
          <w:color w:val="000000"/>
          <w:sz w:val="32"/>
          <w:szCs w:val="32"/>
          <w:lang w:val="en-US" w:eastAsia="zh-CN"/>
        </w:rPr>
        <w:t>信用</w:t>
      </w:r>
      <w:r>
        <w:rPr>
          <w:rFonts w:hint="eastAsia" w:ascii="仿宋_GB2312" w:hAnsi="仿宋" w:eastAsia="仿宋_GB2312"/>
          <w:color w:val="000000"/>
          <w:sz w:val="32"/>
          <w:szCs w:val="32"/>
        </w:rPr>
        <w:t>等级。等级熔断指标</w:t>
      </w:r>
      <w:r>
        <w:rPr>
          <w:rFonts w:hint="eastAsia" w:ascii="仿宋_GB2312" w:hAnsi="仿宋" w:eastAsia="仿宋_GB2312"/>
          <w:color w:val="000000"/>
          <w:sz w:val="32"/>
          <w:szCs w:val="32"/>
          <w:lang w:val="en-US" w:eastAsia="zh-CN"/>
        </w:rPr>
        <w:t>指</w:t>
      </w:r>
      <w:r>
        <w:rPr>
          <w:rFonts w:hint="eastAsia" w:ascii="仿宋_GB2312" w:hAnsi="仿宋" w:eastAsia="仿宋_GB2312"/>
          <w:color w:val="000000"/>
          <w:sz w:val="32"/>
          <w:szCs w:val="32"/>
        </w:rPr>
        <w:t>附录表1等级熔断指标表的规定。</w:t>
      </w:r>
    </w:p>
    <w:p>
      <w:pPr>
        <w:pStyle w:val="6"/>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（二）</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信用评价指标包括</w:t>
      </w:r>
      <w:r>
        <w:rPr>
          <w:rFonts w:hint="eastAsia" w:ascii="仿宋_GB2312" w:hAnsi="仿宋" w:eastAsia="仿宋_GB2312"/>
          <w:color w:val="000000"/>
          <w:sz w:val="32"/>
          <w:szCs w:val="32"/>
          <w:highlight w:val="none"/>
        </w:rPr>
        <w:t>日常经营、行业管理、服务质量、安全管理，以及附加分五个方面。信用评价指标应符合附录表2信用评价指标及评分表的规定</w:t>
      </w:r>
      <w:r>
        <w:rPr>
          <w:rFonts w:hint="eastAsia" w:ascii="仿宋_GB2312" w:hAnsi="仿宋" w:eastAsia="仿宋_GB2312"/>
          <w:color w:val="000000"/>
          <w:sz w:val="32"/>
          <w:szCs w:val="32"/>
        </w:rPr>
        <w:t>。</w:t>
      </w:r>
    </w:p>
    <w:p>
      <w:pPr>
        <w:pStyle w:val="6"/>
        <w:keepNext w:val="0"/>
        <w:keepLines w:val="0"/>
        <w:pageBreakBefore w:val="0"/>
        <w:numPr>
          <w:ilvl w:val="0"/>
          <w:numId w:val="3"/>
        </w:numPr>
        <w:kinsoku/>
        <w:wordWrap/>
        <w:overflowPunct/>
        <w:topLinePunct w:val="0"/>
        <w:autoSpaceDE/>
        <w:autoSpaceDN/>
        <w:bidi w:val="0"/>
        <w:adjustRightInd/>
        <w:snapToGrid/>
        <w:spacing w:line="600" w:lineRule="exact"/>
        <w:jc w:val="both"/>
        <w:textAlignment w:val="auto"/>
        <w:rPr>
          <w:rFonts w:ascii="黑体" w:hAnsi="黑体" w:eastAsia="黑体"/>
          <w:color w:val="000000"/>
          <w:sz w:val="32"/>
          <w:szCs w:val="32"/>
        </w:rPr>
      </w:pPr>
      <w:r>
        <w:rPr>
          <w:rFonts w:hint="eastAsia" w:ascii="黑体" w:hAnsi="黑体" w:eastAsia="黑体"/>
          <w:color w:val="000000"/>
          <w:sz w:val="32"/>
          <w:szCs w:val="32"/>
        </w:rPr>
        <w:t>【评价规则】</w:t>
      </w:r>
      <w:r>
        <w:rPr>
          <w:rFonts w:hint="eastAsia" w:ascii="仿宋_GB2312" w:hAnsi="仿宋" w:eastAsia="仿宋_GB2312"/>
          <w:color w:val="000000"/>
          <w:sz w:val="32"/>
          <w:szCs w:val="32"/>
        </w:rPr>
        <w:t>信用评价周期为每年1月1日至12月31日。评价周期届满，评分清除，不转入下一个评价周期。</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eastAsia="仿宋_GB2312"/>
          <w:sz w:val="32"/>
          <w:szCs w:val="32"/>
        </w:rPr>
      </w:pPr>
      <w:r>
        <w:rPr>
          <w:rFonts w:eastAsia="仿宋_GB2312"/>
          <w:sz w:val="32"/>
          <w:szCs w:val="32"/>
        </w:rPr>
        <w:t>首次评价周期为评价标准发布之日至</w:t>
      </w:r>
      <w:r>
        <w:rPr>
          <w:rFonts w:hint="eastAsia" w:ascii="仿宋_GB2312" w:eastAsia="仿宋_GB2312"/>
          <w:sz w:val="32"/>
          <w:szCs w:val="32"/>
        </w:rPr>
        <w:t>当年12月31日</w:t>
      </w:r>
      <w:r>
        <w:rPr>
          <w:rFonts w:eastAsia="仿宋_GB2312"/>
          <w:sz w:val="32"/>
          <w:szCs w:val="32"/>
        </w:rPr>
        <w:t>。</w:t>
      </w:r>
    </w:p>
    <w:p>
      <w:pPr>
        <w:pStyle w:val="6"/>
        <w:keepNext w:val="0"/>
        <w:keepLines w:val="0"/>
        <w:pageBreakBefore w:val="0"/>
        <w:numPr>
          <w:ilvl w:val="0"/>
          <w:numId w:val="3"/>
        </w:numPr>
        <w:kinsoku/>
        <w:wordWrap/>
        <w:overflowPunct/>
        <w:topLinePunct w:val="0"/>
        <w:autoSpaceDE/>
        <w:autoSpaceDN/>
        <w:bidi w:val="0"/>
        <w:adjustRightInd/>
        <w:snapToGrid/>
        <w:spacing w:line="600" w:lineRule="exact"/>
        <w:jc w:val="both"/>
        <w:textAlignment w:val="auto"/>
        <w:rPr>
          <w:rFonts w:ascii="黑体" w:hAnsi="黑体" w:eastAsia="黑体"/>
          <w:color w:val="000000"/>
          <w:sz w:val="32"/>
          <w:szCs w:val="32"/>
        </w:rPr>
      </w:pPr>
      <w:r>
        <w:rPr>
          <w:rFonts w:hint="eastAsia" w:ascii="黑体" w:hAnsi="黑体" w:eastAsia="黑体"/>
          <w:color w:val="000000"/>
          <w:sz w:val="32"/>
          <w:szCs w:val="32"/>
        </w:rPr>
        <w:t>【信用等级】</w:t>
      </w:r>
      <w:r>
        <w:rPr>
          <w:rFonts w:hint="eastAsia" w:ascii="仿宋_GB2312" w:hAnsi="仿宋" w:eastAsia="仿宋_GB2312"/>
          <w:color w:val="000000"/>
          <w:sz w:val="32"/>
          <w:szCs w:val="32"/>
        </w:rPr>
        <w:t>河北省</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信用评价划分为 A（优秀）、B（良好）、C（中等）、D（较差）、E（差）5 类，评价结果实行动态管理。</w:t>
      </w:r>
    </w:p>
    <w:p>
      <w:pPr>
        <w:pStyle w:val="6"/>
        <w:keepNext w:val="0"/>
        <w:keepLines w:val="0"/>
        <w:pageBreakBefore w:val="0"/>
        <w:kinsoku/>
        <w:wordWrap/>
        <w:overflowPunct/>
        <w:topLinePunct w:val="0"/>
        <w:autoSpaceDE/>
        <w:autoSpaceDN/>
        <w:bidi w:val="0"/>
        <w:adjustRightInd/>
        <w:snapToGrid/>
        <w:spacing w:line="600" w:lineRule="exact"/>
        <w:ind w:firstLine="640" w:firstLineChars="200"/>
        <w:jc w:val="both"/>
        <w:textAlignment w:val="auto"/>
        <w:rPr>
          <w:rFonts w:ascii="仿宋_GB2312" w:hAnsi="仿宋" w:eastAsia="仿宋_GB2312"/>
          <w:color w:val="000000"/>
          <w:sz w:val="32"/>
          <w:szCs w:val="32"/>
        </w:rPr>
      </w:pPr>
      <w:r>
        <w:rPr>
          <w:rFonts w:hint="eastAsia" w:ascii="仿宋_GB2312" w:hAnsi="仿宋" w:eastAsia="仿宋_GB2312"/>
          <w:color w:val="000000"/>
          <w:sz w:val="32"/>
          <w:szCs w:val="32"/>
        </w:rPr>
        <w:t>（一）</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总体信用分值范围为</w:t>
      </w:r>
      <w:r>
        <w:rPr>
          <w:rFonts w:ascii="仿宋_GB2312" w:hAnsi="仿宋" w:eastAsia="仿宋_GB2312"/>
          <w:color w:val="000000"/>
          <w:sz w:val="32"/>
          <w:szCs w:val="32"/>
        </w:rPr>
        <w:t>0-1000</w:t>
      </w:r>
      <w:r>
        <w:rPr>
          <w:rFonts w:hint="eastAsia" w:ascii="仿宋_GB2312" w:hAnsi="仿宋" w:eastAsia="仿宋_GB2312"/>
          <w:color w:val="000000"/>
          <w:sz w:val="32"/>
          <w:szCs w:val="32"/>
        </w:rPr>
        <w:t>分。进行信用评分时，初始分值设置为0分。</w:t>
      </w:r>
    </w:p>
    <w:p>
      <w:pPr>
        <w:pStyle w:val="6"/>
        <w:keepNext w:val="0"/>
        <w:keepLines w:val="0"/>
        <w:pageBreakBefore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 w:eastAsia="仿宋_GB2312"/>
          <w:color w:val="000000"/>
          <w:sz w:val="32"/>
          <w:szCs w:val="32"/>
        </w:rPr>
      </w:pPr>
      <w:r>
        <w:rPr>
          <w:rFonts w:hint="eastAsia" w:ascii="仿宋_GB2312" w:hAnsi="仿宋" w:eastAsia="仿宋_GB2312"/>
          <w:color w:val="000000"/>
          <w:sz w:val="32"/>
          <w:szCs w:val="32"/>
        </w:rPr>
        <w:t>（二）应按照附录表2</w:t>
      </w:r>
      <w:r>
        <w:rPr>
          <w:rFonts w:hint="eastAsia" w:ascii="仿宋_GB2312" w:hAnsi="仿宋" w:eastAsia="仿宋_GB2312"/>
          <w:color w:val="000000"/>
          <w:sz w:val="32"/>
          <w:szCs w:val="32"/>
          <w:lang w:val="en-US" w:eastAsia="zh-CN"/>
        </w:rPr>
        <w:t>中的演出经济机构</w:t>
      </w:r>
      <w:r>
        <w:rPr>
          <w:rFonts w:hint="eastAsia" w:ascii="仿宋_GB2312" w:hAnsi="仿宋" w:eastAsia="仿宋_GB2312"/>
          <w:color w:val="000000"/>
          <w:sz w:val="32"/>
          <w:szCs w:val="32"/>
        </w:rPr>
        <w:t>信用评价指标及评分表规定的指标项评分进行分值相加，</w:t>
      </w:r>
      <w:r>
        <w:rPr>
          <w:rFonts w:hint="eastAsia" w:ascii="仿宋_GB2312" w:hAnsi="仿宋" w:eastAsia="仿宋_GB2312"/>
          <w:color w:val="000000"/>
          <w:sz w:val="32"/>
          <w:szCs w:val="32"/>
          <w:lang w:val="en-US" w:eastAsia="zh-CN"/>
        </w:rPr>
        <w:t>计算</w:t>
      </w:r>
      <w:r>
        <w:rPr>
          <w:rFonts w:hint="eastAsia" w:ascii="仿宋_GB2312" w:hAnsi="仿宋" w:eastAsia="仿宋_GB2312"/>
          <w:color w:val="000000"/>
          <w:sz w:val="32"/>
          <w:szCs w:val="32"/>
        </w:rPr>
        <w:t>总得分。总得分最高为1000分，超过1000分按1000分计算。</w:t>
      </w:r>
    </w:p>
    <w:p>
      <w:pPr>
        <w:pStyle w:val="6"/>
        <w:keepNext w:val="0"/>
        <w:keepLines w:val="0"/>
        <w:pageBreakBefore w:val="0"/>
        <w:widowControl/>
        <w:kinsoku/>
        <w:wordWrap/>
        <w:overflowPunct/>
        <w:topLinePunct w:val="0"/>
        <w:autoSpaceDE/>
        <w:autoSpaceDN/>
        <w:bidi w:val="0"/>
        <w:adjustRightInd/>
        <w:snapToGrid/>
        <w:spacing w:line="400" w:lineRule="exact"/>
        <w:ind w:firstLine="640" w:firstLineChars="200"/>
        <w:jc w:val="both"/>
        <w:textAlignment w:val="auto"/>
        <w:rPr>
          <w:rFonts w:hint="eastAsia" w:ascii="仿宋_GB2312" w:hAnsi="仿宋" w:eastAsia="仿宋_GB2312"/>
          <w:color w:val="000000"/>
          <w:sz w:val="32"/>
          <w:szCs w:val="32"/>
        </w:rPr>
      </w:pP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黑体" w:hAnsi="黑体" w:eastAsia="黑体"/>
          <w:bCs/>
          <w:color w:val="000000"/>
          <w:sz w:val="32"/>
          <w:szCs w:val="32"/>
        </w:rPr>
      </w:pPr>
      <w:r>
        <w:rPr>
          <w:rFonts w:hint="eastAsia" w:ascii="黑体" w:hAnsi="黑体" w:eastAsia="黑体"/>
          <w:bCs/>
          <w:color w:val="000000"/>
          <w:sz w:val="32"/>
          <w:szCs w:val="32"/>
        </w:rPr>
        <w:t>第三章 评价结果</w:t>
      </w:r>
    </w:p>
    <w:p>
      <w:pPr>
        <w:pStyle w:val="6"/>
        <w:keepNext w:val="0"/>
        <w:keepLines w:val="0"/>
        <w:pageBreakBefore w:val="0"/>
        <w:widowControl/>
        <w:numPr>
          <w:ilvl w:val="0"/>
          <w:numId w:val="0"/>
        </w:numPr>
        <w:kinsoku/>
        <w:wordWrap/>
        <w:overflowPunct/>
        <w:topLinePunct w:val="0"/>
        <w:autoSpaceDE/>
        <w:autoSpaceDN/>
        <w:bidi w:val="0"/>
        <w:adjustRightInd/>
        <w:snapToGrid/>
        <w:spacing w:line="400" w:lineRule="exact"/>
        <w:ind w:left="707" w:leftChars="0"/>
        <w:jc w:val="both"/>
        <w:textAlignment w:val="auto"/>
        <w:rPr>
          <w:rFonts w:ascii="黑体" w:hAnsi="黑体" w:eastAsia="黑体"/>
          <w:color w:val="000000"/>
          <w:sz w:val="32"/>
          <w:szCs w:val="32"/>
        </w:rPr>
      </w:pPr>
    </w:p>
    <w:p>
      <w:pPr>
        <w:pStyle w:val="6"/>
        <w:numPr>
          <w:ilvl w:val="0"/>
          <w:numId w:val="3"/>
        </w:numPr>
        <w:spacing w:line="560" w:lineRule="exact"/>
        <w:jc w:val="both"/>
        <w:rPr>
          <w:rFonts w:ascii="仿宋_GB2312" w:hAnsi="仿宋" w:eastAsia="仿宋_GB2312"/>
          <w:color w:val="000000"/>
          <w:sz w:val="32"/>
          <w:szCs w:val="32"/>
        </w:rPr>
      </w:pPr>
      <w:r>
        <w:rPr>
          <w:rFonts w:hint="eastAsia" w:ascii="黑体" w:hAnsi="黑体" w:eastAsia="黑体"/>
          <w:color w:val="000000"/>
          <w:sz w:val="32"/>
          <w:szCs w:val="32"/>
        </w:rPr>
        <w:t>【结果表示】</w:t>
      </w:r>
      <w:r>
        <w:rPr>
          <w:rFonts w:hint="eastAsia" w:ascii="仿宋_GB2312" w:hAnsi="仿宋" w:eastAsia="仿宋_GB2312"/>
          <w:color w:val="000000"/>
          <w:sz w:val="32"/>
          <w:szCs w:val="32"/>
          <w:lang w:val="en-US" w:eastAsia="zh-CN"/>
        </w:rPr>
        <w:t>演出经济机构</w:t>
      </w:r>
      <w:r>
        <w:rPr>
          <w:rFonts w:hint="eastAsia" w:ascii="仿宋_GB2312" w:hAnsi="仿宋" w:eastAsia="仿宋_GB2312"/>
          <w:color w:val="000000"/>
          <w:sz w:val="32"/>
          <w:szCs w:val="32"/>
        </w:rPr>
        <w:t>信用等级按照信用分值从高到低分别用A、B、C、D、E五个等级表示：</w:t>
      </w:r>
    </w:p>
    <w:p>
      <w:pPr>
        <w:pStyle w:val="6"/>
        <w:numPr>
          <w:ilvl w:val="0"/>
          <w:numId w:val="0"/>
        </w:numPr>
        <w:spacing w:line="560" w:lineRule="exact"/>
        <w:ind w:left="707" w:leftChars="0"/>
        <w:jc w:val="both"/>
        <w:rPr>
          <w:rFonts w:ascii="黑体" w:hAnsi="黑体" w:eastAsia="黑体"/>
          <w:color w:val="000000"/>
          <w:sz w:val="32"/>
          <w:szCs w:val="32"/>
        </w:rPr>
      </w:pPr>
    </w:p>
    <w:tbl>
      <w:tblPr>
        <w:tblStyle w:val="8"/>
        <w:tblW w:w="795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320"/>
        <w:gridCol w:w="1243"/>
        <w:gridCol w:w="1921"/>
        <w:gridCol w:w="347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3" w:hRule="atLeast"/>
          <w:tblHeader/>
          <w:jc w:val="center"/>
        </w:trPr>
        <w:tc>
          <w:tcPr>
            <w:tcW w:w="1320" w:type="dxa"/>
            <w:tcBorders>
              <w:top w:val="single" w:color="auto" w:sz="8" w:space="0"/>
              <w:bottom w:val="single" w:color="auto" w:sz="8" w:space="0"/>
            </w:tcBorders>
            <w:shd w:val="clear" w:color="auto" w:fill="auto"/>
            <w:vAlign w:val="center"/>
          </w:tcPr>
          <w:p>
            <w:pPr>
              <w:pStyle w:val="10"/>
            </w:pPr>
            <w:r>
              <w:rPr>
                <w:rFonts w:hint="eastAsia"/>
              </w:rPr>
              <w:t>等级符号</w:t>
            </w:r>
          </w:p>
        </w:tc>
        <w:tc>
          <w:tcPr>
            <w:tcW w:w="1243" w:type="dxa"/>
            <w:tcBorders>
              <w:top w:val="single" w:color="auto" w:sz="8" w:space="0"/>
              <w:bottom w:val="single" w:color="auto" w:sz="8" w:space="0"/>
            </w:tcBorders>
            <w:vAlign w:val="center"/>
          </w:tcPr>
          <w:p>
            <w:pPr>
              <w:pStyle w:val="10"/>
            </w:pPr>
            <w:r>
              <w:rPr>
                <w:rFonts w:hint="eastAsia"/>
              </w:rPr>
              <w:t>信用表示</w:t>
            </w:r>
          </w:p>
        </w:tc>
        <w:tc>
          <w:tcPr>
            <w:tcW w:w="1921" w:type="dxa"/>
            <w:tcBorders>
              <w:top w:val="single" w:color="auto" w:sz="8" w:space="0"/>
              <w:bottom w:val="single" w:color="auto" w:sz="8" w:space="0"/>
            </w:tcBorders>
            <w:shd w:val="clear" w:color="auto" w:fill="auto"/>
            <w:vAlign w:val="center"/>
          </w:tcPr>
          <w:p>
            <w:pPr>
              <w:pStyle w:val="10"/>
            </w:pPr>
            <w:r>
              <w:rPr>
                <w:rFonts w:hint="eastAsia"/>
              </w:rPr>
              <w:t>分值范围</w:t>
            </w:r>
          </w:p>
        </w:tc>
        <w:tc>
          <w:tcPr>
            <w:tcW w:w="3474" w:type="dxa"/>
            <w:tcBorders>
              <w:top w:val="single" w:color="auto" w:sz="8" w:space="0"/>
              <w:bottom w:val="single" w:color="auto" w:sz="8" w:space="0"/>
            </w:tcBorders>
            <w:shd w:val="clear" w:color="auto" w:fill="auto"/>
            <w:vAlign w:val="center"/>
          </w:tcPr>
          <w:p>
            <w:pPr>
              <w:pStyle w:val="10"/>
            </w:pPr>
            <w:r>
              <w:rPr>
                <w:rFonts w:hint="eastAsia"/>
              </w:rPr>
              <w:t>信用提示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3" w:hRule="atLeast"/>
          <w:jc w:val="center"/>
        </w:trPr>
        <w:tc>
          <w:tcPr>
            <w:tcW w:w="1320" w:type="dxa"/>
            <w:tcBorders>
              <w:top w:val="single" w:color="auto" w:sz="8" w:space="0"/>
            </w:tcBorders>
            <w:shd w:val="clear" w:color="auto" w:fill="auto"/>
            <w:vAlign w:val="center"/>
          </w:tcPr>
          <w:p>
            <w:pPr>
              <w:pStyle w:val="10"/>
            </w:pPr>
            <w:r>
              <w:rPr>
                <w:rFonts w:hint="eastAsia"/>
              </w:rPr>
              <w:t>A</w:t>
            </w:r>
          </w:p>
        </w:tc>
        <w:tc>
          <w:tcPr>
            <w:tcW w:w="1243" w:type="dxa"/>
            <w:tcBorders>
              <w:top w:val="single" w:color="auto" w:sz="8" w:space="0"/>
            </w:tcBorders>
            <w:vAlign w:val="center"/>
          </w:tcPr>
          <w:p>
            <w:pPr>
              <w:pStyle w:val="10"/>
            </w:pPr>
            <w:r>
              <w:rPr>
                <w:rFonts w:hint="eastAsia"/>
              </w:rPr>
              <w:t>优秀</w:t>
            </w:r>
          </w:p>
        </w:tc>
        <w:tc>
          <w:tcPr>
            <w:tcW w:w="1921" w:type="dxa"/>
            <w:tcBorders>
              <w:top w:val="single" w:color="auto" w:sz="8" w:space="0"/>
            </w:tcBorders>
            <w:shd w:val="clear" w:color="auto" w:fill="auto"/>
            <w:vAlign w:val="center"/>
          </w:tcPr>
          <w:p>
            <w:pPr>
              <w:pStyle w:val="10"/>
            </w:pPr>
            <w:r>
              <w:rPr>
                <w:rFonts w:hint="eastAsia"/>
              </w:rPr>
              <w:t>（800，1000</w:t>
            </w:r>
            <w:r>
              <w:t>]</w:t>
            </w:r>
          </w:p>
        </w:tc>
        <w:tc>
          <w:tcPr>
            <w:tcW w:w="3474" w:type="dxa"/>
            <w:tcBorders>
              <w:top w:val="single" w:color="auto" w:sz="8" w:space="0"/>
            </w:tcBorders>
            <w:shd w:val="clear" w:color="auto" w:fill="auto"/>
            <w:vAlign w:val="center"/>
          </w:tcPr>
          <w:p>
            <w:pPr>
              <w:pStyle w:val="10"/>
            </w:pPr>
            <w:r>
              <w:rPr>
                <w:rFonts w:hint="eastAsia"/>
              </w:rPr>
              <w:t>表示在一定期限内，几乎无风险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1320" w:type="dxa"/>
            <w:shd w:val="clear" w:color="auto" w:fill="auto"/>
            <w:vAlign w:val="center"/>
          </w:tcPr>
          <w:p>
            <w:pPr>
              <w:pStyle w:val="10"/>
            </w:pPr>
            <w:r>
              <w:rPr>
                <w:rFonts w:hint="eastAsia"/>
              </w:rPr>
              <w:t>B</w:t>
            </w:r>
          </w:p>
        </w:tc>
        <w:tc>
          <w:tcPr>
            <w:tcW w:w="1243" w:type="dxa"/>
            <w:vAlign w:val="center"/>
          </w:tcPr>
          <w:p>
            <w:pPr>
              <w:pStyle w:val="10"/>
            </w:pPr>
            <w:r>
              <w:rPr>
                <w:rFonts w:hint="eastAsia"/>
              </w:rPr>
              <w:t>良好</w:t>
            </w:r>
          </w:p>
        </w:tc>
        <w:tc>
          <w:tcPr>
            <w:tcW w:w="1921" w:type="dxa"/>
            <w:shd w:val="clear" w:color="auto" w:fill="auto"/>
            <w:vAlign w:val="center"/>
          </w:tcPr>
          <w:p>
            <w:pPr>
              <w:pStyle w:val="10"/>
            </w:pPr>
            <w:r>
              <w:rPr>
                <w:rFonts w:hint="eastAsia"/>
              </w:rPr>
              <w:t>（700，800</w:t>
            </w:r>
            <w:r>
              <w:t>]</w:t>
            </w:r>
          </w:p>
        </w:tc>
        <w:tc>
          <w:tcPr>
            <w:tcW w:w="3474" w:type="dxa"/>
            <w:shd w:val="clear" w:color="auto" w:fill="auto"/>
            <w:vAlign w:val="center"/>
          </w:tcPr>
          <w:p>
            <w:pPr>
              <w:pStyle w:val="10"/>
            </w:pPr>
            <w:r>
              <w:rPr>
                <w:rFonts w:hint="eastAsia"/>
              </w:rPr>
              <w:t>表示在一定期限内，基本无风险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1320" w:type="dxa"/>
            <w:shd w:val="clear" w:color="auto" w:fill="auto"/>
            <w:vAlign w:val="center"/>
          </w:tcPr>
          <w:p>
            <w:pPr>
              <w:pStyle w:val="10"/>
            </w:pPr>
            <w:r>
              <w:rPr>
                <w:rFonts w:hint="eastAsia"/>
              </w:rPr>
              <w:t>C</w:t>
            </w:r>
          </w:p>
        </w:tc>
        <w:tc>
          <w:tcPr>
            <w:tcW w:w="1243" w:type="dxa"/>
            <w:vAlign w:val="center"/>
          </w:tcPr>
          <w:p>
            <w:pPr>
              <w:pStyle w:val="10"/>
            </w:pPr>
            <w:r>
              <w:rPr>
                <w:rFonts w:hint="eastAsia"/>
              </w:rPr>
              <w:t>中等</w:t>
            </w:r>
          </w:p>
        </w:tc>
        <w:tc>
          <w:tcPr>
            <w:tcW w:w="1921" w:type="dxa"/>
            <w:shd w:val="clear" w:color="auto" w:fill="auto"/>
            <w:vAlign w:val="center"/>
          </w:tcPr>
          <w:p>
            <w:pPr>
              <w:pStyle w:val="10"/>
            </w:pPr>
            <w:r>
              <w:rPr>
                <w:rFonts w:hint="eastAsia"/>
              </w:rPr>
              <w:t>（600，700</w:t>
            </w:r>
            <w:r>
              <w:t>]</w:t>
            </w:r>
          </w:p>
        </w:tc>
        <w:tc>
          <w:tcPr>
            <w:tcW w:w="3474" w:type="dxa"/>
            <w:shd w:val="clear" w:color="auto" w:fill="auto"/>
            <w:vAlign w:val="center"/>
          </w:tcPr>
          <w:p>
            <w:pPr>
              <w:pStyle w:val="10"/>
            </w:pPr>
            <w:r>
              <w:rPr>
                <w:rFonts w:hint="eastAsia"/>
              </w:rPr>
              <w:t>表示在一定期限内，风险较小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1320" w:type="dxa"/>
            <w:shd w:val="clear" w:color="auto" w:fill="auto"/>
            <w:vAlign w:val="center"/>
          </w:tcPr>
          <w:p>
            <w:pPr>
              <w:pStyle w:val="10"/>
            </w:pPr>
            <w:r>
              <w:rPr>
                <w:rFonts w:hint="eastAsia"/>
              </w:rPr>
              <w:t>D</w:t>
            </w:r>
          </w:p>
        </w:tc>
        <w:tc>
          <w:tcPr>
            <w:tcW w:w="1243" w:type="dxa"/>
            <w:vAlign w:val="center"/>
          </w:tcPr>
          <w:p>
            <w:pPr>
              <w:pStyle w:val="10"/>
            </w:pPr>
            <w:r>
              <w:rPr>
                <w:rFonts w:hint="eastAsia"/>
              </w:rPr>
              <w:t>较差</w:t>
            </w:r>
          </w:p>
        </w:tc>
        <w:tc>
          <w:tcPr>
            <w:tcW w:w="1921" w:type="dxa"/>
            <w:shd w:val="clear" w:color="auto" w:fill="auto"/>
            <w:vAlign w:val="center"/>
          </w:tcPr>
          <w:p>
            <w:pPr>
              <w:pStyle w:val="10"/>
            </w:pPr>
            <w:r>
              <w:rPr>
                <w:rFonts w:hint="eastAsia"/>
              </w:rPr>
              <w:t>（</w:t>
            </w:r>
            <w:r>
              <w:t>3</w:t>
            </w:r>
            <w:r>
              <w:rPr>
                <w:rFonts w:hint="eastAsia"/>
              </w:rPr>
              <w:t>00，600</w:t>
            </w:r>
            <w:r>
              <w:t>]</w:t>
            </w:r>
          </w:p>
        </w:tc>
        <w:tc>
          <w:tcPr>
            <w:tcW w:w="3474" w:type="dxa"/>
            <w:shd w:val="clear" w:color="auto" w:fill="auto"/>
            <w:vAlign w:val="center"/>
          </w:tcPr>
          <w:p>
            <w:pPr>
              <w:pStyle w:val="10"/>
            </w:pPr>
            <w:r>
              <w:rPr>
                <w:rFonts w:hint="eastAsia"/>
              </w:rPr>
              <w:t>表示在一定期限内，有一定风险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43" w:hRule="atLeast"/>
          <w:jc w:val="center"/>
        </w:trPr>
        <w:tc>
          <w:tcPr>
            <w:tcW w:w="1320" w:type="dxa"/>
            <w:shd w:val="clear" w:color="auto" w:fill="auto"/>
            <w:vAlign w:val="center"/>
          </w:tcPr>
          <w:p>
            <w:pPr>
              <w:pStyle w:val="10"/>
            </w:pPr>
            <w:r>
              <w:rPr>
                <w:rFonts w:hint="eastAsia"/>
              </w:rPr>
              <w:t>E</w:t>
            </w:r>
          </w:p>
        </w:tc>
        <w:tc>
          <w:tcPr>
            <w:tcW w:w="1243" w:type="dxa"/>
            <w:vAlign w:val="center"/>
          </w:tcPr>
          <w:p>
            <w:pPr>
              <w:pStyle w:val="10"/>
            </w:pPr>
            <w:r>
              <w:rPr>
                <w:rFonts w:hint="eastAsia"/>
              </w:rPr>
              <w:t>差</w:t>
            </w:r>
          </w:p>
        </w:tc>
        <w:tc>
          <w:tcPr>
            <w:tcW w:w="1921" w:type="dxa"/>
            <w:shd w:val="clear" w:color="auto" w:fill="auto"/>
            <w:vAlign w:val="center"/>
          </w:tcPr>
          <w:p>
            <w:pPr>
              <w:pStyle w:val="10"/>
            </w:pPr>
            <w:r>
              <w:rPr>
                <w:rFonts w:hint="eastAsia"/>
              </w:rPr>
              <w:t>[0，</w:t>
            </w:r>
            <w:r>
              <w:t>3</w:t>
            </w:r>
            <w:r>
              <w:rPr>
                <w:rFonts w:hint="eastAsia"/>
              </w:rPr>
              <w:t>00</w:t>
            </w:r>
            <w:r>
              <w:t>]</w:t>
            </w:r>
          </w:p>
        </w:tc>
        <w:tc>
          <w:tcPr>
            <w:tcW w:w="3474" w:type="dxa"/>
            <w:shd w:val="clear" w:color="auto" w:fill="auto"/>
            <w:vAlign w:val="center"/>
          </w:tcPr>
          <w:p>
            <w:pPr>
              <w:pStyle w:val="10"/>
            </w:pPr>
            <w:r>
              <w:rPr>
                <w:rFonts w:hint="eastAsia"/>
              </w:rPr>
              <w:t>表示在一定期限内，有较大风险</w:t>
            </w:r>
          </w:p>
        </w:tc>
      </w:tr>
    </w:tbl>
    <w:p/>
    <w:p>
      <w:pPr>
        <w:pStyle w:val="2"/>
      </w:pP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ind w:firstLine="709" w:firstLineChars="0"/>
        <w:jc w:val="both"/>
        <w:textAlignment w:val="auto"/>
        <w:rPr>
          <w:rFonts w:ascii="黑体" w:hAnsi="黑体" w:eastAsia="黑体"/>
          <w:color w:val="000000"/>
          <w:sz w:val="32"/>
          <w:szCs w:val="32"/>
        </w:rPr>
      </w:pPr>
      <w:r>
        <w:rPr>
          <w:rFonts w:hint="eastAsia" w:ascii="黑体" w:hAnsi="黑体" w:eastAsia="黑体"/>
          <w:color w:val="000000"/>
          <w:sz w:val="32"/>
          <w:szCs w:val="32"/>
        </w:rPr>
        <w:t>【结果公示】</w:t>
      </w:r>
      <w:r>
        <w:rPr>
          <w:rFonts w:hint="eastAsia" w:ascii="仿宋_GB2312" w:hAnsi="仿宋" w:eastAsia="仿宋_GB2312"/>
          <w:color w:val="000000"/>
          <w:sz w:val="32"/>
          <w:szCs w:val="32"/>
        </w:rPr>
        <w:t>信用初评结果在河北省文化和旅游行业信用信息网进行公示。</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ind w:firstLine="709" w:firstLineChars="0"/>
        <w:jc w:val="both"/>
        <w:textAlignment w:val="auto"/>
        <w:rPr>
          <w:rFonts w:ascii="黑体" w:hAnsi="黑体" w:eastAsia="黑体"/>
          <w:color w:val="000000"/>
          <w:sz w:val="32"/>
          <w:szCs w:val="32"/>
        </w:rPr>
      </w:pPr>
      <w:r>
        <w:rPr>
          <w:rFonts w:hint="eastAsia" w:ascii="黑体" w:hAnsi="黑体" w:eastAsia="黑体"/>
          <w:color w:val="000000"/>
          <w:sz w:val="32"/>
          <w:szCs w:val="32"/>
        </w:rPr>
        <w:t>【异议处理】</w:t>
      </w:r>
      <w:r>
        <w:rPr>
          <w:rFonts w:hint="eastAsia" w:ascii="仿宋_GB2312" w:hAnsi="仿宋" w:eastAsia="仿宋_GB2312"/>
          <w:color w:val="000000"/>
          <w:sz w:val="32"/>
          <w:szCs w:val="32"/>
        </w:rPr>
        <w:t>评价对象对信用初评结果有异议的，可以在结果公示之日起15个工作日内，通过河北省文化和旅游行业信用信息网或者线下向辖区市级文化和旅游主管部门现场提交异议申请。</w:t>
      </w:r>
      <w:r>
        <w:rPr>
          <w:rFonts w:hint="eastAsia" w:ascii="仿宋_GB2312" w:hAnsi="仿宋" w:eastAsia="仿宋_GB2312"/>
          <w:color w:val="000000"/>
          <w:sz w:val="32"/>
          <w:szCs w:val="32"/>
          <w:lang w:val="en-US" w:eastAsia="zh-CN"/>
        </w:rPr>
        <w:t>市</w:t>
      </w:r>
      <w:r>
        <w:rPr>
          <w:rFonts w:hint="eastAsia" w:ascii="仿宋_GB2312" w:hAnsi="仿宋" w:eastAsia="仿宋_GB2312"/>
          <w:color w:val="000000"/>
          <w:sz w:val="32"/>
          <w:szCs w:val="32"/>
        </w:rPr>
        <w:t>级文化和旅游主管部门应当自收到异议申请之日起</w:t>
      </w:r>
      <w:r>
        <w:rPr>
          <w:rFonts w:hint="eastAsia" w:ascii="仿宋_GB2312" w:hAnsi="仿宋" w:eastAsia="仿宋_GB2312"/>
          <w:color w:val="auto"/>
          <w:sz w:val="32"/>
          <w:szCs w:val="32"/>
          <w:highlight w:val="none"/>
          <w:lang w:val="en-US" w:eastAsia="zh-CN"/>
        </w:rPr>
        <w:t>15</w:t>
      </w:r>
      <w:r>
        <w:rPr>
          <w:rFonts w:hint="eastAsia" w:ascii="仿宋_GB2312" w:hAnsi="仿宋" w:eastAsia="仿宋_GB2312"/>
          <w:color w:val="000000"/>
          <w:sz w:val="32"/>
          <w:szCs w:val="32"/>
        </w:rPr>
        <w:t>个工作日内进行核实</w:t>
      </w:r>
      <w:r>
        <w:rPr>
          <w:rFonts w:hint="eastAsia" w:ascii="仿宋_GB2312" w:hAnsi="仿宋" w:eastAsia="仿宋_GB2312"/>
          <w:color w:val="000000"/>
          <w:sz w:val="32"/>
          <w:szCs w:val="32"/>
          <w:lang w:val="en-US" w:eastAsia="zh-CN"/>
        </w:rPr>
        <w:t>并</w:t>
      </w:r>
      <w:r>
        <w:rPr>
          <w:rFonts w:hint="eastAsia" w:ascii="仿宋_GB2312" w:hAnsi="仿宋" w:eastAsia="仿宋_GB2312"/>
          <w:color w:val="000000"/>
          <w:sz w:val="32"/>
          <w:szCs w:val="32"/>
        </w:rPr>
        <w:t>出具审核意见报统筹部门；省级文化和旅游主管部门依据相关规定及审核意见，于3个工作日内</w:t>
      </w:r>
      <w:r>
        <w:rPr>
          <w:rFonts w:hint="eastAsia" w:ascii="仿宋_GB2312" w:hAnsi="仿宋" w:eastAsia="仿宋_GB2312"/>
          <w:color w:val="000000"/>
          <w:sz w:val="32"/>
          <w:szCs w:val="32"/>
          <w:lang w:val="en-US" w:eastAsia="zh-CN"/>
        </w:rPr>
        <w:t>给出最终</w:t>
      </w:r>
      <w:r>
        <w:rPr>
          <w:rFonts w:hint="eastAsia" w:ascii="仿宋_GB2312" w:hAnsi="仿宋" w:eastAsia="仿宋_GB2312"/>
          <w:color w:val="000000"/>
          <w:sz w:val="32"/>
          <w:szCs w:val="32"/>
        </w:rPr>
        <w:t>复核意见。</w:t>
      </w: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ind w:firstLine="709" w:firstLineChars="0"/>
        <w:jc w:val="both"/>
        <w:textAlignment w:val="auto"/>
        <w:rPr>
          <w:rFonts w:ascii="黑体" w:hAnsi="黑体" w:eastAsia="黑体"/>
          <w:color w:val="000000"/>
          <w:sz w:val="32"/>
          <w:szCs w:val="32"/>
        </w:rPr>
      </w:pPr>
      <w:r>
        <w:rPr>
          <w:rFonts w:hint="eastAsia" w:ascii="黑体" w:hAnsi="黑体" w:eastAsia="黑体"/>
          <w:color w:val="000000"/>
          <w:sz w:val="32"/>
          <w:szCs w:val="32"/>
        </w:rPr>
        <w:t>【终评结果】</w:t>
      </w:r>
      <w:r>
        <w:rPr>
          <w:rFonts w:hint="eastAsia" w:ascii="仿宋_GB2312" w:hAnsi="仿宋" w:eastAsia="仿宋_GB2312"/>
          <w:color w:val="000000"/>
          <w:sz w:val="32"/>
          <w:szCs w:val="32"/>
        </w:rPr>
        <w:t>对信用初评结果无异议的，或者完成异议处理的，业务部门应当形成最终的信用评价结果，并在河北省文化和旅游行业信用信息网进行公示。</w:t>
      </w:r>
    </w:p>
    <w:p>
      <w:pPr>
        <w:keepNext w:val="0"/>
        <w:keepLines w:val="0"/>
        <w:pageBreakBefore w:val="0"/>
        <w:kinsoku/>
        <w:wordWrap/>
        <w:overflowPunct/>
        <w:topLinePunct w:val="0"/>
        <w:autoSpaceDE/>
        <w:autoSpaceDN/>
        <w:bidi w:val="0"/>
        <w:adjustRightInd/>
        <w:snapToGrid/>
        <w:spacing w:line="400" w:lineRule="exact"/>
        <w:textAlignment w:val="auto"/>
      </w:pPr>
    </w:p>
    <w:p>
      <w:pPr>
        <w:pStyle w:val="6"/>
        <w:keepNext w:val="0"/>
        <w:keepLines w:val="0"/>
        <w:pageBreakBefore w:val="0"/>
        <w:kinsoku/>
        <w:wordWrap/>
        <w:overflowPunct/>
        <w:topLinePunct w:val="0"/>
        <w:autoSpaceDE/>
        <w:autoSpaceDN/>
        <w:bidi w:val="0"/>
        <w:adjustRightInd/>
        <w:snapToGrid/>
        <w:spacing w:line="400" w:lineRule="exact"/>
        <w:jc w:val="center"/>
        <w:textAlignment w:val="auto"/>
        <w:rPr>
          <w:rFonts w:ascii="黑体" w:hAnsi="黑体" w:eastAsia="黑体"/>
          <w:bCs/>
          <w:color w:val="000000"/>
          <w:sz w:val="32"/>
          <w:szCs w:val="32"/>
        </w:rPr>
      </w:pPr>
      <w:r>
        <w:rPr>
          <w:rFonts w:hint="eastAsia" w:ascii="黑体" w:hAnsi="黑体" w:eastAsia="黑体"/>
          <w:bCs/>
          <w:color w:val="000000"/>
          <w:sz w:val="32"/>
          <w:szCs w:val="32"/>
        </w:rPr>
        <w:t>第四章　分级分类监管应用</w:t>
      </w:r>
    </w:p>
    <w:p>
      <w:pPr>
        <w:pStyle w:val="2"/>
        <w:keepNext w:val="0"/>
        <w:keepLines w:val="0"/>
        <w:pageBreakBefore w:val="0"/>
        <w:kinsoku/>
        <w:wordWrap/>
        <w:overflowPunct/>
        <w:topLinePunct w:val="0"/>
        <w:autoSpaceDE/>
        <w:autoSpaceDN/>
        <w:bidi w:val="0"/>
        <w:adjustRightInd/>
        <w:snapToGrid/>
        <w:spacing w:line="400" w:lineRule="exact"/>
        <w:textAlignment w:val="auto"/>
      </w:pPr>
    </w:p>
    <w:p>
      <w:pPr>
        <w:pStyle w:val="6"/>
        <w:keepNext w:val="0"/>
        <w:keepLines w:val="0"/>
        <w:pageBreakBefore w:val="0"/>
        <w:numPr>
          <w:ilvl w:val="0"/>
          <w:numId w:val="3"/>
        </w:numPr>
        <w:kinsoku/>
        <w:wordWrap/>
        <w:overflowPunct/>
        <w:topLinePunct w:val="0"/>
        <w:autoSpaceDE/>
        <w:autoSpaceDN/>
        <w:bidi w:val="0"/>
        <w:adjustRightInd/>
        <w:snapToGrid/>
        <w:spacing w:line="600" w:lineRule="exact"/>
        <w:ind w:firstLine="709" w:firstLineChars="0"/>
        <w:jc w:val="both"/>
        <w:textAlignment w:val="auto"/>
        <w:rPr>
          <w:rFonts w:ascii="仿宋_GB2312" w:hAnsi="仿宋" w:eastAsia="仿宋_GB2312"/>
          <w:color w:val="000000"/>
          <w:sz w:val="32"/>
          <w:szCs w:val="32"/>
        </w:rPr>
      </w:pPr>
      <w:r>
        <w:rPr>
          <w:rFonts w:hint="eastAsia" w:ascii="黑体" w:hAnsi="黑体" w:eastAsia="黑体"/>
          <w:color w:val="000000"/>
          <w:sz w:val="32"/>
          <w:szCs w:val="32"/>
        </w:rPr>
        <w:t>【</w:t>
      </w:r>
      <w:r>
        <w:rPr>
          <w:rFonts w:hint="eastAsia" w:ascii="黑体" w:hAnsi="黑体" w:eastAsia="黑体"/>
          <w:bCs/>
          <w:color w:val="000000"/>
          <w:sz w:val="32"/>
          <w:szCs w:val="32"/>
        </w:rPr>
        <w:t>分级分类</w:t>
      </w:r>
      <w:r>
        <w:rPr>
          <w:rFonts w:hint="eastAsia" w:ascii="黑体" w:hAnsi="黑体" w:eastAsia="黑体"/>
          <w:color w:val="000000"/>
          <w:sz w:val="32"/>
          <w:szCs w:val="32"/>
        </w:rPr>
        <w:t>监管</w:t>
      </w:r>
      <w:r>
        <w:rPr>
          <w:rFonts w:hint="eastAsia" w:ascii="仿宋_GB2312" w:hAnsi="仿宋" w:eastAsia="仿宋_GB2312"/>
          <w:color w:val="000000"/>
          <w:sz w:val="32"/>
          <w:szCs w:val="32"/>
        </w:rPr>
        <w:t>】各级文化和旅游行业主管部门依据市场主体信用评价结果实施分级分类监管。对于信用较好、风险较低的市场主体，减少检查比例和频次；违法失信、风险较高的市场主体，列为重点监管对象，提高检查比例和频次。</w:t>
      </w:r>
    </w:p>
    <w:p>
      <w:pPr>
        <w:pStyle w:val="2"/>
        <w:rPr>
          <w:rFonts w:hint="eastAsia"/>
        </w:rPr>
      </w:pP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黑体" w:hAnsi="黑体" w:eastAsia="黑体"/>
          <w:bCs/>
          <w:color w:val="000000"/>
          <w:sz w:val="32"/>
          <w:szCs w:val="32"/>
        </w:rPr>
      </w:pPr>
    </w:p>
    <w:p>
      <w:pPr>
        <w:pStyle w:val="6"/>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黑体" w:hAnsi="黑体" w:eastAsia="黑体"/>
          <w:bCs/>
          <w:color w:val="000000"/>
          <w:sz w:val="32"/>
          <w:szCs w:val="32"/>
        </w:rPr>
      </w:pPr>
      <w:r>
        <w:rPr>
          <w:rFonts w:hint="eastAsia" w:ascii="黑体" w:hAnsi="黑体" w:eastAsia="黑体"/>
          <w:bCs/>
          <w:color w:val="000000"/>
          <w:sz w:val="32"/>
          <w:szCs w:val="32"/>
        </w:rPr>
        <w:t>第五章</w:t>
      </w:r>
      <w:r>
        <w:rPr>
          <w:rFonts w:ascii="黑体" w:hAnsi="黑体" w:eastAsia="黑体"/>
          <w:bCs/>
          <w:color w:val="000000"/>
          <w:sz w:val="32"/>
          <w:szCs w:val="32"/>
        </w:rPr>
        <w:t xml:space="preserve"> </w:t>
      </w:r>
      <w:r>
        <w:rPr>
          <w:rFonts w:hint="eastAsia" w:ascii="黑体" w:hAnsi="黑体" w:eastAsia="黑体"/>
          <w:bCs/>
          <w:color w:val="000000"/>
          <w:sz w:val="32"/>
          <w:szCs w:val="32"/>
        </w:rPr>
        <w:t>附</w:t>
      </w:r>
      <w:r>
        <w:rPr>
          <w:rFonts w:ascii="黑体" w:hAnsi="黑体" w:eastAsia="黑体"/>
          <w:bCs/>
          <w:color w:val="000000"/>
          <w:sz w:val="32"/>
          <w:szCs w:val="32"/>
        </w:rPr>
        <w:t xml:space="preserve"> 则</w:t>
      </w:r>
    </w:p>
    <w:p>
      <w:pPr>
        <w:pStyle w:val="6"/>
        <w:keepNext w:val="0"/>
        <w:keepLines w:val="0"/>
        <w:pageBreakBefore w:val="0"/>
        <w:widowControl/>
        <w:numPr>
          <w:ilvl w:val="0"/>
          <w:numId w:val="0"/>
        </w:numPr>
        <w:kinsoku/>
        <w:wordWrap/>
        <w:overflowPunct/>
        <w:topLinePunct w:val="0"/>
        <w:autoSpaceDE/>
        <w:autoSpaceDN/>
        <w:bidi w:val="0"/>
        <w:adjustRightInd/>
        <w:snapToGrid/>
        <w:spacing w:line="400" w:lineRule="exact"/>
        <w:jc w:val="both"/>
        <w:textAlignment w:val="auto"/>
        <w:rPr>
          <w:rFonts w:ascii="仿宋_GB2312" w:eastAsia="仿宋_GB2312"/>
          <w:color w:val="000000"/>
          <w:sz w:val="32"/>
          <w:szCs w:val="32"/>
        </w:rPr>
      </w:pPr>
    </w:p>
    <w:p>
      <w:pPr>
        <w:pStyle w:val="6"/>
        <w:keepNext w:val="0"/>
        <w:keepLines w:val="0"/>
        <w:pageBreakBefore w:val="0"/>
        <w:widowControl/>
        <w:numPr>
          <w:ilvl w:val="0"/>
          <w:numId w:val="3"/>
        </w:numPr>
        <w:kinsoku/>
        <w:wordWrap/>
        <w:overflowPunct/>
        <w:topLinePunct w:val="0"/>
        <w:autoSpaceDE/>
        <w:autoSpaceDN/>
        <w:bidi w:val="0"/>
        <w:adjustRightInd/>
        <w:snapToGrid/>
        <w:spacing w:line="600" w:lineRule="exact"/>
        <w:jc w:val="both"/>
        <w:textAlignment w:val="auto"/>
        <w:rPr>
          <w:rFonts w:ascii="仿宋_GB2312" w:hAnsi="仿宋" w:eastAsia="仿宋_GB2312"/>
          <w:b/>
          <w:color w:val="000000"/>
          <w:sz w:val="32"/>
          <w:szCs w:val="32"/>
        </w:rPr>
      </w:pPr>
      <w:r>
        <w:rPr>
          <w:rFonts w:hint="eastAsia" w:ascii="黑体" w:hAnsi="黑体" w:eastAsia="黑体"/>
          <w:color w:val="000000"/>
          <w:sz w:val="32"/>
          <w:szCs w:val="32"/>
        </w:rPr>
        <w:t>【施行</w:t>
      </w:r>
      <w:r>
        <w:rPr>
          <w:rFonts w:ascii="黑体" w:hAnsi="黑体" w:eastAsia="黑体"/>
          <w:color w:val="000000"/>
          <w:sz w:val="32"/>
          <w:szCs w:val="32"/>
        </w:rPr>
        <w:t>日期</w:t>
      </w:r>
      <w:r>
        <w:rPr>
          <w:rFonts w:hint="eastAsia" w:ascii="黑体" w:hAnsi="黑体" w:eastAsia="黑体"/>
          <w:color w:val="000000"/>
          <w:sz w:val="32"/>
          <w:szCs w:val="32"/>
        </w:rPr>
        <w:t>】</w:t>
      </w:r>
      <w:r>
        <w:rPr>
          <w:rFonts w:hint="eastAsia" w:ascii="仿宋_GB2312" w:hAnsi="仿宋" w:eastAsia="仿宋_GB2312"/>
          <w:color w:val="000000"/>
          <w:sz w:val="32"/>
          <w:szCs w:val="32"/>
        </w:rPr>
        <w:t>本实施细则自XXXX年XX月XX日起施行。</w:t>
      </w:r>
    </w:p>
    <w:p>
      <w:pPr>
        <w:pStyle w:val="6"/>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仿宋_GB2312" w:hAnsi="仿宋" w:eastAsia="仿宋_GB2312"/>
          <w:color w:val="000000"/>
          <w:sz w:val="32"/>
          <w:szCs w:val="32"/>
          <w:lang w:eastAsia="zh-CN"/>
        </w:rPr>
      </w:pPr>
      <w:r>
        <w:rPr>
          <w:rFonts w:hint="eastAsia" w:ascii="仿宋_GB2312" w:hAnsi="仿宋" w:eastAsia="仿宋_GB2312"/>
          <w:color w:val="000000"/>
          <w:sz w:val="32"/>
          <w:szCs w:val="32"/>
        </w:rPr>
        <w:t>附件：表1 等级熔断指标表</w:t>
      </w:r>
      <w:r>
        <w:rPr>
          <w:rFonts w:hint="eastAsia" w:ascii="仿宋_GB2312" w:hAnsi="仿宋" w:eastAsia="仿宋_GB2312"/>
          <w:color w:val="000000"/>
          <w:sz w:val="32"/>
          <w:szCs w:val="32"/>
          <w:lang w:eastAsia="zh-CN"/>
        </w:rPr>
        <w:t>。</w:t>
      </w:r>
    </w:p>
    <w:p>
      <w:pPr>
        <w:pStyle w:val="6"/>
        <w:keepNext w:val="0"/>
        <w:keepLines w:val="0"/>
        <w:pageBreakBefore w:val="0"/>
        <w:widowControl/>
        <w:kinsoku/>
        <w:wordWrap/>
        <w:overflowPunct/>
        <w:topLinePunct w:val="0"/>
        <w:autoSpaceDE/>
        <w:autoSpaceDN/>
        <w:bidi w:val="0"/>
        <w:adjustRightInd/>
        <w:snapToGrid/>
        <w:spacing w:line="600" w:lineRule="exact"/>
        <w:ind w:firstLine="960" w:firstLineChars="300"/>
        <w:textAlignment w:val="auto"/>
        <w:rPr>
          <w:rFonts w:hint="eastAsia" w:ascii="仿宋_GB2312" w:hAnsi="仿宋" w:eastAsia="仿宋_GB2312"/>
          <w:color w:val="000000"/>
          <w:sz w:val="32"/>
          <w:szCs w:val="32"/>
          <w:lang w:eastAsia="zh-CN"/>
        </w:rPr>
        <w:sectPr>
          <w:footerReference r:id="rId3" w:type="default"/>
          <w:pgSz w:w="11906" w:h="16838"/>
          <w:pgMar w:top="1440" w:right="1800" w:bottom="1440" w:left="1800" w:header="851" w:footer="992" w:gutter="0"/>
          <w:pgNumType w:fmt="numberInDash"/>
          <w:cols w:space="425" w:num="1"/>
          <w:docGrid w:type="lines" w:linePitch="312" w:charSpace="0"/>
        </w:sectPr>
      </w:pPr>
      <w:r>
        <w:rPr>
          <w:rFonts w:hint="eastAsia" w:ascii="仿宋_GB2312" w:hAnsi="仿宋" w:eastAsia="仿宋_GB2312"/>
          <w:color w:val="000000"/>
          <w:sz w:val="32"/>
          <w:szCs w:val="32"/>
        </w:rPr>
        <w:t>表</w:t>
      </w:r>
      <w:r>
        <w:rPr>
          <w:rFonts w:ascii="仿宋_GB2312" w:hAnsi="仿宋" w:eastAsia="仿宋_GB2312"/>
          <w:color w:val="000000"/>
          <w:sz w:val="32"/>
          <w:szCs w:val="32"/>
        </w:rPr>
        <w:t>2</w:t>
      </w:r>
      <w:r>
        <w:rPr>
          <w:rFonts w:hint="eastAsia" w:ascii="仿宋_GB2312" w:hAnsi="仿宋" w:eastAsia="仿宋_GB2312"/>
          <w:color w:val="000000"/>
          <w:sz w:val="32"/>
          <w:szCs w:val="32"/>
        </w:rPr>
        <w:t xml:space="preserve"> 信用评价指标及评分表</w:t>
      </w:r>
      <w:r>
        <w:rPr>
          <w:rFonts w:hint="eastAsia" w:ascii="仿宋_GB2312" w:hAnsi="仿宋" w:eastAsia="仿宋_GB2312"/>
          <w:color w:val="000000"/>
          <w:sz w:val="32"/>
          <w:szCs w:val="32"/>
          <w:lang w:eastAsia="zh-CN"/>
        </w:rPr>
        <w:t>。</w:t>
      </w:r>
    </w:p>
    <w:p>
      <w:pPr>
        <w:pStyle w:val="12"/>
        <w:numPr>
          <w:ilvl w:val="1"/>
          <w:numId w:val="0"/>
        </w:numPr>
        <w:spacing w:before="156" w:after="156"/>
        <w:rPr>
          <w:rFonts w:hint="eastAsia"/>
          <w:sz w:val="28"/>
          <w:szCs w:val="24"/>
        </w:rPr>
      </w:pPr>
    </w:p>
    <w:p>
      <w:pPr>
        <w:pStyle w:val="12"/>
        <w:numPr>
          <w:ilvl w:val="1"/>
          <w:numId w:val="0"/>
        </w:numPr>
        <w:spacing w:before="156" w:after="156"/>
        <w:rPr>
          <w:sz w:val="28"/>
          <w:szCs w:val="24"/>
        </w:rPr>
      </w:pPr>
      <w:r>
        <w:rPr>
          <w:rFonts w:hint="eastAsia"/>
          <w:sz w:val="28"/>
          <w:szCs w:val="24"/>
        </w:rPr>
        <w:t>表1 等级熔断指标表</w:t>
      </w:r>
    </w:p>
    <w:tbl>
      <w:tblPr>
        <w:tblStyle w:val="7"/>
        <w:tblW w:w="132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43"/>
        <w:gridCol w:w="9452"/>
        <w:gridCol w:w="24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jc w:val="center"/>
        </w:trPr>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94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指标项</w:t>
            </w:r>
          </w:p>
        </w:tc>
        <w:tc>
          <w:tcPr>
            <w:tcW w:w="2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等级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4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被行政管理部门列入严重失信主体的。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4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演出经济机构在行业信用记录内存在行政处罚行为，并且未完成信用修复的，其中包括：“暂扣营业性演出许可证件、吊销营业性演出许可证件”“停止营业性演出经营活动、责令停业、责令关闭”等的行政处罚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4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近一年，演出经济机构发生重大不良舆情，群体性投诉，造成严重社会影响并且演出经济机构负有主要责任的。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9"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94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近一年，演出经济机构在演出活动中发生重大及以上安全责任事故或突发事件并且演出经济机构负有主要责任的。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E级</w:t>
            </w:r>
          </w:p>
        </w:tc>
      </w:tr>
    </w:tbl>
    <w:p>
      <w:pPr>
        <w:pStyle w:val="6"/>
        <w:rPr>
          <w:rFonts w:hint="eastAsia" w:ascii="仿宋_GB2312" w:hAnsi="仿宋" w:eastAsia="仿宋_GB2312"/>
          <w:color w:val="000000"/>
          <w:sz w:val="32"/>
          <w:szCs w:val="32"/>
          <w:lang w:eastAsia="zh-CN"/>
        </w:rPr>
        <w:sectPr>
          <w:pgSz w:w="16838" w:h="11906" w:orient="landscape"/>
          <w:pgMar w:top="1800" w:right="1440" w:bottom="1800" w:left="1440" w:header="851" w:footer="992" w:gutter="0"/>
          <w:pgNumType w:fmt="numberInDash"/>
          <w:cols w:space="425" w:num="1"/>
          <w:docGrid w:type="lines" w:linePitch="312" w:charSpace="0"/>
        </w:sectPr>
      </w:pPr>
    </w:p>
    <w:p>
      <w:pPr>
        <w:pStyle w:val="12"/>
        <w:numPr>
          <w:ilvl w:val="1"/>
          <w:numId w:val="0"/>
        </w:numPr>
        <w:spacing w:before="156" w:after="156"/>
        <w:jc w:val="center"/>
        <w:rPr>
          <w:rFonts w:hint="eastAsia"/>
          <w:sz w:val="28"/>
          <w:szCs w:val="24"/>
        </w:rPr>
      </w:pPr>
      <w:r>
        <w:rPr>
          <w:rFonts w:hint="eastAsia"/>
          <w:sz w:val="28"/>
          <w:szCs w:val="24"/>
        </w:rPr>
        <w:t>表2 信用评价指标及评分表</w:t>
      </w:r>
    </w:p>
    <w:tbl>
      <w:tblPr>
        <w:tblStyle w:val="7"/>
        <w:tblW w:w="124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2"/>
        <w:gridCol w:w="972"/>
        <w:gridCol w:w="972"/>
        <w:gridCol w:w="1200"/>
        <w:gridCol w:w="972"/>
        <w:gridCol w:w="1611"/>
        <w:gridCol w:w="1068"/>
        <w:gridCol w:w="3741"/>
        <w:gridCol w:w="9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权重1</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权重2</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权重3</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得分指标说明及评分</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日常经营</w:t>
            </w:r>
          </w:p>
        </w:tc>
        <w:tc>
          <w:tcPr>
            <w:tcW w:w="97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运营发展</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1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注册资本</w:t>
            </w:r>
          </w:p>
        </w:tc>
        <w:tc>
          <w:tcPr>
            <w:tcW w:w="10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注册资本≥1000万元</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100万元≤注册资本＜1000万元</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注册资本＜100万元</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经营年限</w:t>
            </w:r>
          </w:p>
        </w:tc>
        <w:tc>
          <w:tcPr>
            <w:tcW w:w="10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经营年限≥10年</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5年≤经营年限＜10年</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1≤经营年限＜5年</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演出经纪人数量</w:t>
            </w:r>
          </w:p>
        </w:tc>
        <w:tc>
          <w:tcPr>
            <w:tcW w:w="1068"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741"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演出经纪人数量≥10人</w:t>
            </w:r>
          </w:p>
        </w:tc>
        <w:tc>
          <w:tcPr>
            <w:tcW w:w="972"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8"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6人≤演出经纪人数量＜10人</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8"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3人≤演出经纪人数量＜6人</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社保缴纳</w:t>
            </w:r>
          </w:p>
        </w:tc>
        <w:tc>
          <w:tcPr>
            <w:tcW w:w="10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近三年，累计正常缴存社保月份≥24个月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近三年，12个月≤累计缴存社保月份＜24个月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近三年，6个月≤累计缴存社保月份＜12个月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公积金缴纳</w:t>
            </w:r>
          </w:p>
        </w:tc>
        <w:tc>
          <w:tcPr>
            <w:tcW w:w="10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近三年，累计正常存缴公积金月份≥24个月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近三年，12个月≤累计正常存缴公积金月份＜24个月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近三年，6个月≤累计正常存缴公积金月份＜12个月</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纳税情况</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近一年，演出经纪机构依法纳税以及代扣代缴有关税费义务的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演出总场次</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根据上一年度，企业累计演出场次情况，予以得分：采用企业累计演出场次除以第一名企业演出场次，乘以20为得分。</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营收能力</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根据上一年度，企业营业收入情况，予以得分：采用企业营业收入除以第一名企业营业收入，乘以10为得分。</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经营状态</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异常经营</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未被列入企业经营异常名录，或列入后已移除的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履约履诺</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合同履约</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近一年，未有因债务违约、拖欠服务费、损害员工权益、合同欺诈等法院判决记录</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履诺信息</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近一年，未有“在行政审批事项中信用承诺违诺，且未信用修复”情况</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管理层信用</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管理层个人征信</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近一年，演出经纪机构的法定代表人、实际控制人和高级管理人员未被列入失信被执行人名单、被执行人名单中</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行业管理</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行业自律</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6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行业自律</w:t>
            </w:r>
          </w:p>
        </w:tc>
        <w:tc>
          <w:tcPr>
            <w:tcW w:w="10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加入中国演出行业协会的，得50分。</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加入省演出行业协会的，得40分。</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加入其他行业协会的，得30分。</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行政监管</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信息报送</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近一年，能按照行政主管部门要求，积极、准确、完整填报信息的。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连续三年无行政处罚</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近三年，演出经纪机构无行政处罚行为</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行政强制执行</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近一年，演出经纪机构无行政强制执行记录</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警示信息情况</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近一年，演出经纪机构在行业信用记录内，无通报警示信息</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遵纪守法</w:t>
            </w:r>
          </w:p>
        </w:tc>
        <w:tc>
          <w:tcPr>
            <w:tcW w:w="9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演出活动监管</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近一年，演出经纪机构在演出活动中不使用造成恶劣社会影响违法失德演员的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意识形态</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近一年，演出经纪机构的演出活动内容能积极弘扬社会主义核心价值观，未有危害社会公德或者民族优秀文化传统、违反公序良俗、畸形审美等行为的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jc w:val="center"/>
        </w:trPr>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未成年人保护</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近一年，演出经纪机构为十六周岁以上的未成年人提供表演经纪服务时，能对其身份信息进行认证，并经其监护人书面同意并留存相关交流记录的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服务质量</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消费者评价</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评价记录</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近一年，演出经纪机构没有受到有责投诉的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安全保障</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安全管理</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人员、治安和消防等安全事故</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37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近一年，演出经济机在演出活动中无安全责任事故、无突发事件舆情信息的</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bl>
    <w:p>
      <w:pPr>
        <w:pStyle w:val="11"/>
        <w:ind w:left="0" w:leftChars="0" w:firstLine="0" w:firstLineChars="0"/>
        <w:rPr>
          <w:rFonts w:hint="eastAsia"/>
          <w:lang w:eastAsia="zh-CN"/>
        </w:rPr>
      </w:pPr>
    </w:p>
    <w:p>
      <w:pPr>
        <w:pStyle w:val="12"/>
        <w:numPr>
          <w:ilvl w:val="1"/>
          <w:numId w:val="0"/>
        </w:numPr>
        <w:spacing w:before="156" w:after="156"/>
        <w:rPr>
          <w:rFonts w:hint="eastAsia"/>
          <w:sz w:val="28"/>
          <w:szCs w:val="24"/>
        </w:rPr>
      </w:pPr>
    </w:p>
    <w:p>
      <w:pPr>
        <w:pStyle w:val="12"/>
        <w:numPr>
          <w:ilvl w:val="1"/>
          <w:numId w:val="0"/>
        </w:numPr>
        <w:spacing w:before="156" w:after="156"/>
        <w:rPr>
          <w:rFonts w:hint="eastAsia"/>
          <w:sz w:val="28"/>
          <w:szCs w:val="24"/>
        </w:rPr>
      </w:pPr>
      <w:r>
        <w:rPr>
          <w:rFonts w:hint="eastAsia"/>
          <w:sz w:val="28"/>
          <w:szCs w:val="24"/>
        </w:rPr>
        <w:t>表2 信用评价指标及评分表（附加分）</w:t>
      </w:r>
    </w:p>
    <w:tbl>
      <w:tblPr>
        <w:tblStyle w:val="7"/>
        <w:tblW w:w="119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00"/>
        <w:gridCol w:w="1704"/>
        <w:gridCol w:w="1020"/>
        <w:gridCol w:w="5989"/>
        <w:gridCol w:w="17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加分指标</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最高分值</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得分指标说明及评分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分数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w:t>
            </w:r>
          </w:p>
        </w:tc>
        <w:tc>
          <w:tcPr>
            <w:tcW w:w="1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荣誉表彰</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近三年，获得行政部门或行业协会的国家级荣誉表彰（包括员工）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近三年，获得行政部门或行业协会的省级荣誉表彰（包括员工）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近三年，获得行政部门或行业协会的地市级荣誉表彰（包括员工）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近三年，获得行政部门或旅游行业协会的区县级荣誉表彰（包括员工）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近三年，获得行政主管部门通报表扬（包括员工）</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w:t>
            </w:r>
          </w:p>
        </w:tc>
        <w:tc>
          <w:tcPr>
            <w:tcW w:w="1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社会公益</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近三年，参与公益、志愿服务、捐赠现金或物品设备的，每次得10分，最高得20分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计算得出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近三年，演出经济机构有到农村、工矿企业演出，为少年儿童提供免费或者优惠演出的，每次得10分，最高得30分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计算得出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信用承诺</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向社会做出信用承诺，每次得10分，最高得40分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计算得出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守信激励</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近三年，演出经济机构列入信用河北诚信名单、信用红榜。每次得10分，最高得30分</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计算得出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纳税情况</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59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近三年，演出经济机构被税务机关评定为A级纳税至少一次的</w:t>
            </w:r>
          </w:p>
        </w:tc>
        <w:tc>
          <w:tcPr>
            <w:tcW w:w="1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bl>
    <w:p>
      <w:pPr>
        <w:pStyle w:val="11"/>
        <w:ind w:left="0" w:leftChars="0" w:firstLine="0" w:firstLineChars="0"/>
        <w:rPr>
          <w:rFonts w:hint="default" w:ascii="仿宋_GB2312" w:hAnsi="仿宋_GB2312" w:eastAsia="仿宋_GB2312" w:cs="仿宋_GB2312"/>
          <w:sz w:val="32"/>
          <w:szCs w:val="32"/>
          <w:lang w:val="en-US" w:eastAsia="zh-CN"/>
        </w:rPr>
      </w:pPr>
    </w:p>
    <w:sectPr>
      <w:pgSz w:w="16838" w:h="11906" w:orient="landscape"/>
      <w:pgMar w:top="1800" w:right="1440" w:bottom="1800"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88751B"/>
    <w:multiLevelType w:val="singleLevel"/>
    <w:tmpl w:val="9288751B"/>
    <w:lvl w:ilvl="0" w:tentative="0">
      <w:start w:val="1"/>
      <w:numFmt w:val="chineseCounting"/>
      <w:suff w:val="nothing"/>
      <w:lvlText w:val="（%1）"/>
      <w:lvlJc w:val="left"/>
      <w:rPr>
        <w:rFonts w:hint="eastAsia"/>
      </w:rPr>
    </w:lvl>
  </w:abstractNum>
  <w:abstractNum w:abstractNumId="1">
    <w:nsid w:val="49323AED"/>
    <w:multiLevelType w:val="multilevel"/>
    <w:tmpl w:val="49323AED"/>
    <w:lvl w:ilvl="0" w:tentative="0">
      <w:start w:val="1"/>
      <w:numFmt w:val="chineseCountingThousand"/>
      <w:suff w:val="nothing"/>
      <w:lvlText w:val="第%1条"/>
      <w:lvlJc w:val="left"/>
      <w:pPr>
        <w:ind w:left="0" w:firstLine="707"/>
      </w:pPr>
      <w:rPr>
        <w:rFonts w:hint="eastAsia" w:eastAsia="黑体"/>
        <w:lang w:val="en-US"/>
      </w:rPr>
    </w:lvl>
    <w:lvl w:ilvl="1" w:tentative="0">
      <w:start w:val="1"/>
      <w:numFmt w:val="lowerLetter"/>
      <w:lvlText w:val="%2)"/>
      <w:lvlJc w:val="left"/>
      <w:pPr>
        <w:ind w:left="1547" w:hanging="420"/>
      </w:pPr>
    </w:lvl>
    <w:lvl w:ilvl="2" w:tentative="0">
      <w:start w:val="1"/>
      <w:numFmt w:val="lowerRoman"/>
      <w:lvlText w:val="%3."/>
      <w:lvlJc w:val="right"/>
      <w:pPr>
        <w:ind w:left="1967" w:hanging="420"/>
      </w:pPr>
    </w:lvl>
    <w:lvl w:ilvl="3" w:tentative="0">
      <w:start w:val="1"/>
      <w:numFmt w:val="decimal"/>
      <w:lvlText w:val="%4."/>
      <w:lvlJc w:val="left"/>
      <w:pPr>
        <w:ind w:left="2387" w:hanging="420"/>
      </w:pPr>
    </w:lvl>
    <w:lvl w:ilvl="4" w:tentative="0">
      <w:start w:val="1"/>
      <w:numFmt w:val="lowerLetter"/>
      <w:lvlText w:val="%5)"/>
      <w:lvlJc w:val="left"/>
      <w:pPr>
        <w:ind w:left="2807" w:hanging="420"/>
      </w:pPr>
    </w:lvl>
    <w:lvl w:ilvl="5" w:tentative="0">
      <w:start w:val="1"/>
      <w:numFmt w:val="lowerRoman"/>
      <w:lvlText w:val="%6."/>
      <w:lvlJc w:val="right"/>
      <w:pPr>
        <w:ind w:left="3227" w:hanging="420"/>
      </w:pPr>
    </w:lvl>
    <w:lvl w:ilvl="6" w:tentative="0">
      <w:start w:val="1"/>
      <w:numFmt w:val="decimal"/>
      <w:lvlText w:val="%7."/>
      <w:lvlJc w:val="left"/>
      <w:pPr>
        <w:ind w:left="3647" w:hanging="420"/>
      </w:pPr>
    </w:lvl>
    <w:lvl w:ilvl="7" w:tentative="0">
      <w:start w:val="1"/>
      <w:numFmt w:val="lowerLetter"/>
      <w:lvlText w:val="%8)"/>
      <w:lvlJc w:val="left"/>
      <w:pPr>
        <w:ind w:left="4067" w:hanging="420"/>
      </w:pPr>
    </w:lvl>
    <w:lvl w:ilvl="8" w:tentative="0">
      <w:start w:val="1"/>
      <w:numFmt w:val="lowerRoman"/>
      <w:lvlText w:val="%9."/>
      <w:lvlJc w:val="right"/>
      <w:pPr>
        <w:ind w:left="4487" w:hanging="420"/>
      </w:pPr>
    </w:lvl>
  </w:abstractNum>
  <w:abstractNum w:abstractNumId="2">
    <w:nsid w:val="5603797C"/>
    <w:multiLevelType w:val="multilevel"/>
    <w:tmpl w:val="5603797C"/>
    <w:lvl w:ilvl="0" w:tentative="0">
      <w:start w:val="1"/>
      <w:numFmt w:val="upperLetter"/>
      <w:suff w:val="space"/>
      <w:lvlText w:val="%1"/>
      <w:lvlJc w:val="left"/>
      <w:pPr>
        <w:ind w:left="425" w:hanging="425"/>
      </w:pPr>
      <w:rPr>
        <w:rFonts w:hint="eastAsia"/>
      </w:rPr>
    </w:lvl>
    <w:lvl w:ilvl="1" w:tentative="0">
      <w:start w:val="1"/>
      <w:numFmt w:val="decimal"/>
      <w:pStyle w:val="12"/>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66E6CFAA"/>
    <w:multiLevelType w:val="singleLevel"/>
    <w:tmpl w:val="66E6CFAA"/>
    <w:lvl w:ilvl="0" w:tentative="0">
      <w:start w:val="1"/>
      <w:numFmt w:val="chineseCounting"/>
      <w:suff w:val="space"/>
      <w:lvlText w:val="第%1章"/>
      <w:lvlJc w:val="left"/>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hZGM1OTlmNGEyNDg4N2I3NDU4M2FiM2I4MmZjYWUifQ=="/>
  </w:docVars>
  <w:rsids>
    <w:rsidRoot w:val="00000000"/>
    <w:rsid w:val="001E4038"/>
    <w:rsid w:val="003C28DE"/>
    <w:rsid w:val="004E0863"/>
    <w:rsid w:val="004E58EA"/>
    <w:rsid w:val="00A010BF"/>
    <w:rsid w:val="00A67D58"/>
    <w:rsid w:val="00A93E7B"/>
    <w:rsid w:val="00AF1CA8"/>
    <w:rsid w:val="00B5508F"/>
    <w:rsid w:val="00C97834"/>
    <w:rsid w:val="0194674A"/>
    <w:rsid w:val="01B446F6"/>
    <w:rsid w:val="02495E49"/>
    <w:rsid w:val="024B505A"/>
    <w:rsid w:val="024D6B54"/>
    <w:rsid w:val="025F4662"/>
    <w:rsid w:val="02CE773E"/>
    <w:rsid w:val="02D74B40"/>
    <w:rsid w:val="02E05722"/>
    <w:rsid w:val="03800D34"/>
    <w:rsid w:val="040B5B34"/>
    <w:rsid w:val="041C3746"/>
    <w:rsid w:val="04E470A0"/>
    <w:rsid w:val="0518787A"/>
    <w:rsid w:val="05382715"/>
    <w:rsid w:val="057747FA"/>
    <w:rsid w:val="05810D93"/>
    <w:rsid w:val="05D36833"/>
    <w:rsid w:val="060F72E9"/>
    <w:rsid w:val="06476169"/>
    <w:rsid w:val="06615D22"/>
    <w:rsid w:val="06EF70E1"/>
    <w:rsid w:val="07590886"/>
    <w:rsid w:val="07B12543"/>
    <w:rsid w:val="07E20CC7"/>
    <w:rsid w:val="080F10BE"/>
    <w:rsid w:val="08141989"/>
    <w:rsid w:val="0822060B"/>
    <w:rsid w:val="082D6FB0"/>
    <w:rsid w:val="096133B5"/>
    <w:rsid w:val="09C9255D"/>
    <w:rsid w:val="09FC4E43"/>
    <w:rsid w:val="0A6273E5"/>
    <w:rsid w:val="0AA57489"/>
    <w:rsid w:val="0B24469B"/>
    <w:rsid w:val="0B2E5ABC"/>
    <w:rsid w:val="0B3D77BA"/>
    <w:rsid w:val="0B8909A2"/>
    <w:rsid w:val="0BD526D9"/>
    <w:rsid w:val="0C7C1854"/>
    <w:rsid w:val="0C8D626F"/>
    <w:rsid w:val="0CC26C5C"/>
    <w:rsid w:val="0D291525"/>
    <w:rsid w:val="0D371663"/>
    <w:rsid w:val="0D3E316B"/>
    <w:rsid w:val="0D7D0092"/>
    <w:rsid w:val="0E230C39"/>
    <w:rsid w:val="0E6410E0"/>
    <w:rsid w:val="0E833264"/>
    <w:rsid w:val="0EB55917"/>
    <w:rsid w:val="0F52015A"/>
    <w:rsid w:val="0F8643D6"/>
    <w:rsid w:val="0F917E25"/>
    <w:rsid w:val="0FF52AA9"/>
    <w:rsid w:val="100107CC"/>
    <w:rsid w:val="10A064F0"/>
    <w:rsid w:val="10BA4216"/>
    <w:rsid w:val="10C9202D"/>
    <w:rsid w:val="10DE51FF"/>
    <w:rsid w:val="110034B4"/>
    <w:rsid w:val="11091D5E"/>
    <w:rsid w:val="116F23E8"/>
    <w:rsid w:val="1188174B"/>
    <w:rsid w:val="11A06EAF"/>
    <w:rsid w:val="11B12A00"/>
    <w:rsid w:val="11CD1859"/>
    <w:rsid w:val="120F7F7D"/>
    <w:rsid w:val="12415B32"/>
    <w:rsid w:val="125819BD"/>
    <w:rsid w:val="12BD2877"/>
    <w:rsid w:val="13385187"/>
    <w:rsid w:val="13EC6C6B"/>
    <w:rsid w:val="13F07810"/>
    <w:rsid w:val="147C5547"/>
    <w:rsid w:val="14C50C9C"/>
    <w:rsid w:val="14C842E9"/>
    <w:rsid w:val="150C0679"/>
    <w:rsid w:val="150D619F"/>
    <w:rsid w:val="15712BD2"/>
    <w:rsid w:val="15953C6C"/>
    <w:rsid w:val="1669660C"/>
    <w:rsid w:val="16A92740"/>
    <w:rsid w:val="1720040C"/>
    <w:rsid w:val="17CA48A1"/>
    <w:rsid w:val="18F36E6F"/>
    <w:rsid w:val="18F84792"/>
    <w:rsid w:val="18FA2EDF"/>
    <w:rsid w:val="1913646F"/>
    <w:rsid w:val="19530654"/>
    <w:rsid w:val="196D36B1"/>
    <w:rsid w:val="19E944C7"/>
    <w:rsid w:val="19FB4960"/>
    <w:rsid w:val="19FD2C86"/>
    <w:rsid w:val="1A172518"/>
    <w:rsid w:val="1A4425EC"/>
    <w:rsid w:val="1ACC614F"/>
    <w:rsid w:val="1C8341D4"/>
    <w:rsid w:val="1C9039C8"/>
    <w:rsid w:val="1CAD0994"/>
    <w:rsid w:val="1CC730D8"/>
    <w:rsid w:val="1CD6150E"/>
    <w:rsid w:val="1D0A0FEB"/>
    <w:rsid w:val="1D412E8A"/>
    <w:rsid w:val="1D91618C"/>
    <w:rsid w:val="1DC94347"/>
    <w:rsid w:val="1DFC2E03"/>
    <w:rsid w:val="1E487574"/>
    <w:rsid w:val="1E5F63C2"/>
    <w:rsid w:val="1E6351A8"/>
    <w:rsid w:val="1E8A2BAB"/>
    <w:rsid w:val="1EB5427B"/>
    <w:rsid w:val="1EF01A65"/>
    <w:rsid w:val="1F0864BA"/>
    <w:rsid w:val="1F41617E"/>
    <w:rsid w:val="1F79392E"/>
    <w:rsid w:val="208E288A"/>
    <w:rsid w:val="20C31DBB"/>
    <w:rsid w:val="20D67D8D"/>
    <w:rsid w:val="21260DE0"/>
    <w:rsid w:val="217429A0"/>
    <w:rsid w:val="21A76385"/>
    <w:rsid w:val="22287F70"/>
    <w:rsid w:val="22733C5E"/>
    <w:rsid w:val="22D80C0E"/>
    <w:rsid w:val="23613156"/>
    <w:rsid w:val="2398441C"/>
    <w:rsid w:val="23A2047D"/>
    <w:rsid w:val="23E32EED"/>
    <w:rsid w:val="23EF1892"/>
    <w:rsid w:val="245416F5"/>
    <w:rsid w:val="24AA68E6"/>
    <w:rsid w:val="24DD5B8E"/>
    <w:rsid w:val="25215BAB"/>
    <w:rsid w:val="25461985"/>
    <w:rsid w:val="25742CC5"/>
    <w:rsid w:val="26520498"/>
    <w:rsid w:val="26871FB3"/>
    <w:rsid w:val="26980770"/>
    <w:rsid w:val="26F7280B"/>
    <w:rsid w:val="27005B64"/>
    <w:rsid w:val="27027B2E"/>
    <w:rsid w:val="270B46D3"/>
    <w:rsid w:val="27637EA1"/>
    <w:rsid w:val="27917ACE"/>
    <w:rsid w:val="279B3ADF"/>
    <w:rsid w:val="27E108E4"/>
    <w:rsid w:val="27E707C8"/>
    <w:rsid w:val="28206CB8"/>
    <w:rsid w:val="283A6B48"/>
    <w:rsid w:val="2858552C"/>
    <w:rsid w:val="29127DD1"/>
    <w:rsid w:val="2A1C6E57"/>
    <w:rsid w:val="2A9B63C1"/>
    <w:rsid w:val="2AA2159A"/>
    <w:rsid w:val="2AB116EA"/>
    <w:rsid w:val="2AF505FC"/>
    <w:rsid w:val="2B361B54"/>
    <w:rsid w:val="2B7820FA"/>
    <w:rsid w:val="2B8054C5"/>
    <w:rsid w:val="2B896D00"/>
    <w:rsid w:val="2BA74368"/>
    <w:rsid w:val="2BF22338"/>
    <w:rsid w:val="2BFA59A8"/>
    <w:rsid w:val="2C3047F6"/>
    <w:rsid w:val="2C4756BE"/>
    <w:rsid w:val="2C9A797F"/>
    <w:rsid w:val="2CD428A4"/>
    <w:rsid w:val="2CDD4252"/>
    <w:rsid w:val="2E732049"/>
    <w:rsid w:val="2E9609FD"/>
    <w:rsid w:val="2ED07B97"/>
    <w:rsid w:val="2F587D94"/>
    <w:rsid w:val="300761B5"/>
    <w:rsid w:val="30D264FF"/>
    <w:rsid w:val="311E4D1D"/>
    <w:rsid w:val="316513E5"/>
    <w:rsid w:val="31B5579D"/>
    <w:rsid w:val="324A70A7"/>
    <w:rsid w:val="3294486E"/>
    <w:rsid w:val="32C57FA6"/>
    <w:rsid w:val="32E427DE"/>
    <w:rsid w:val="33802E43"/>
    <w:rsid w:val="33E52369"/>
    <w:rsid w:val="3450337A"/>
    <w:rsid w:val="34576EF3"/>
    <w:rsid w:val="345C46C9"/>
    <w:rsid w:val="34670FD0"/>
    <w:rsid w:val="34FE5528"/>
    <w:rsid w:val="355552CD"/>
    <w:rsid w:val="359620CB"/>
    <w:rsid w:val="35DB6085"/>
    <w:rsid w:val="35E70CFE"/>
    <w:rsid w:val="36260A17"/>
    <w:rsid w:val="36BD312A"/>
    <w:rsid w:val="374F77B6"/>
    <w:rsid w:val="376300D4"/>
    <w:rsid w:val="37A16410"/>
    <w:rsid w:val="37CF154C"/>
    <w:rsid w:val="38077679"/>
    <w:rsid w:val="38780035"/>
    <w:rsid w:val="3A2A31CC"/>
    <w:rsid w:val="3A33329E"/>
    <w:rsid w:val="3A85345D"/>
    <w:rsid w:val="3B2130E9"/>
    <w:rsid w:val="3B672ACA"/>
    <w:rsid w:val="3C37572C"/>
    <w:rsid w:val="3C437053"/>
    <w:rsid w:val="3C696521"/>
    <w:rsid w:val="3C795D45"/>
    <w:rsid w:val="3C8524BC"/>
    <w:rsid w:val="3CB10B9B"/>
    <w:rsid w:val="3CFC24D2"/>
    <w:rsid w:val="3D1D4B08"/>
    <w:rsid w:val="3D430983"/>
    <w:rsid w:val="3D600CB3"/>
    <w:rsid w:val="3DE37141"/>
    <w:rsid w:val="3E9C3F6D"/>
    <w:rsid w:val="3F7171A7"/>
    <w:rsid w:val="3FA82F5E"/>
    <w:rsid w:val="3FB05F21"/>
    <w:rsid w:val="3FC52566"/>
    <w:rsid w:val="3FE23C01"/>
    <w:rsid w:val="3FE931E1"/>
    <w:rsid w:val="4002795F"/>
    <w:rsid w:val="40490124"/>
    <w:rsid w:val="4052368F"/>
    <w:rsid w:val="405A5E8D"/>
    <w:rsid w:val="407F23BC"/>
    <w:rsid w:val="410A1661"/>
    <w:rsid w:val="4114508A"/>
    <w:rsid w:val="412B2A68"/>
    <w:rsid w:val="41605725"/>
    <w:rsid w:val="41EA4FEF"/>
    <w:rsid w:val="41FA186D"/>
    <w:rsid w:val="423C3269"/>
    <w:rsid w:val="425C25C0"/>
    <w:rsid w:val="4269071B"/>
    <w:rsid w:val="427A2817"/>
    <w:rsid w:val="427E262D"/>
    <w:rsid w:val="429D02B3"/>
    <w:rsid w:val="42DE356B"/>
    <w:rsid w:val="436808C1"/>
    <w:rsid w:val="43FF1A00"/>
    <w:rsid w:val="44075774"/>
    <w:rsid w:val="440C795F"/>
    <w:rsid w:val="442B48A8"/>
    <w:rsid w:val="44F67D77"/>
    <w:rsid w:val="45717F01"/>
    <w:rsid w:val="45921C25"/>
    <w:rsid w:val="45C72455"/>
    <w:rsid w:val="46081EE8"/>
    <w:rsid w:val="462C5BD6"/>
    <w:rsid w:val="46302710"/>
    <w:rsid w:val="46382D46"/>
    <w:rsid w:val="4669507C"/>
    <w:rsid w:val="4678447B"/>
    <w:rsid w:val="46883812"/>
    <w:rsid w:val="46FC37FA"/>
    <w:rsid w:val="47373CCA"/>
    <w:rsid w:val="474D48B1"/>
    <w:rsid w:val="477E4B57"/>
    <w:rsid w:val="487F4868"/>
    <w:rsid w:val="49214975"/>
    <w:rsid w:val="492B6185"/>
    <w:rsid w:val="493A685C"/>
    <w:rsid w:val="4977360C"/>
    <w:rsid w:val="49951CE4"/>
    <w:rsid w:val="49DB5E2A"/>
    <w:rsid w:val="4A690362"/>
    <w:rsid w:val="4A7C3B90"/>
    <w:rsid w:val="4A8A3A31"/>
    <w:rsid w:val="4AA46683"/>
    <w:rsid w:val="4ADF76BB"/>
    <w:rsid w:val="4B0D06CC"/>
    <w:rsid w:val="4B5A1437"/>
    <w:rsid w:val="4B944360"/>
    <w:rsid w:val="4B9D5648"/>
    <w:rsid w:val="4BAC6F4F"/>
    <w:rsid w:val="4BB17792"/>
    <w:rsid w:val="4BE16003"/>
    <w:rsid w:val="4C261319"/>
    <w:rsid w:val="4C891FD4"/>
    <w:rsid w:val="4C9E35A6"/>
    <w:rsid w:val="4D0E0191"/>
    <w:rsid w:val="4D495F20"/>
    <w:rsid w:val="4DB62AB5"/>
    <w:rsid w:val="4E5252B6"/>
    <w:rsid w:val="4E544FA0"/>
    <w:rsid w:val="4EA03605"/>
    <w:rsid w:val="4EA2737D"/>
    <w:rsid w:val="4F0C0C9A"/>
    <w:rsid w:val="501320B1"/>
    <w:rsid w:val="502D2C76"/>
    <w:rsid w:val="50350CDD"/>
    <w:rsid w:val="50DB26D2"/>
    <w:rsid w:val="51215792"/>
    <w:rsid w:val="516C73D7"/>
    <w:rsid w:val="51932FAD"/>
    <w:rsid w:val="51982C09"/>
    <w:rsid w:val="52466271"/>
    <w:rsid w:val="52C553E8"/>
    <w:rsid w:val="531158A4"/>
    <w:rsid w:val="532103EE"/>
    <w:rsid w:val="53486019"/>
    <w:rsid w:val="538057B3"/>
    <w:rsid w:val="538C23AA"/>
    <w:rsid w:val="53AD15E5"/>
    <w:rsid w:val="53ED176C"/>
    <w:rsid w:val="54980541"/>
    <w:rsid w:val="54C609F0"/>
    <w:rsid w:val="550D751A"/>
    <w:rsid w:val="556E620B"/>
    <w:rsid w:val="55711857"/>
    <w:rsid w:val="56010E2D"/>
    <w:rsid w:val="56095F34"/>
    <w:rsid w:val="56C71814"/>
    <w:rsid w:val="56D87365"/>
    <w:rsid w:val="57144816"/>
    <w:rsid w:val="57340470"/>
    <w:rsid w:val="57F93A83"/>
    <w:rsid w:val="58156E12"/>
    <w:rsid w:val="58CF5213"/>
    <w:rsid w:val="58DA7171"/>
    <w:rsid w:val="593E7CA2"/>
    <w:rsid w:val="59B75D14"/>
    <w:rsid w:val="5A1629CD"/>
    <w:rsid w:val="5A201A9E"/>
    <w:rsid w:val="5A4376A2"/>
    <w:rsid w:val="5AE147BC"/>
    <w:rsid w:val="5AEE56F8"/>
    <w:rsid w:val="5B5E126B"/>
    <w:rsid w:val="5BE30FD5"/>
    <w:rsid w:val="5C08561B"/>
    <w:rsid w:val="5C45621E"/>
    <w:rsid w:val="5C9B27BA"/>
    <w:rsid w:val="5CB52971"/>
    <w:rsid w:val="5D0B312E"/>
    <w:rsid w:val="5D987109"/>
    <w:rsid w:val="5DB43C3A"/>
    <w:rsid w:val="5DC6470A"/>
    <w:rsid w:val="5DC67BE1"/>
    <w:rsid w:val="5DF00E63"/>
    <w:rsid w:val="5E22075C"/>
    <w:rsid w:val="5E2C6C07"/>
    <w:rsid w:val="5EA82A5A"/>
    <w:rsid w:val="5EC63B15"/>
    <w:rsid w:val="5ECF0C14"/>
    <w:rsid w:val="5EDD2BC2"/>
    <w:rsid w:val="5EF013ED"/>
    <w:rsid w:val="5F2E1F1A"/>
    <w:rsid w:val="5F3A3E51"/>
    <w:rsid w:val="600C351C"/>
    <w:rsid w:val="600F05EB"/>
    <w:rsid w:val="60487659"/>
    <w:rsid w:val="605D1403"/>
    <w:rsid w:val="60AE3960"/>
    <w:rsid w:val="61222D0D"/>
    <w:rsid w:val="61DA61FE"/>
    <w:rsid w:val="6247406C"/>
    <w:rsid w:val="626E6747"/>
    <w:rsid w:val="62C32E16"/>
    <w:rsid w:val="62FA10ED"/>
    <w:rsid w:val="632A4AA7"/>
    <w:rsid w:val="636740CD"/>
    <w:rsid w:val="63F20007"/>
    <w:rsid w:val="64FA5959"/>
    <w:rsid w:val="65534AD5"/>
    <w:rsid w:val="65711400"/>
    <w:rsid w:val="659D3FA3"/>
    <w:rsid w:val="65FF25D9"/>
    <w:rsid w:val="66244C08"/>
    <w:rsid w:val="6632293D"/>
    <w:rsid w:val="665925BF"/>
    <w:rsid w:val="66616510"/>
    <w:rsid w:val="669252E2"/>
    <w:rsid w:val="66AA6977"/>
    <w:rsid w:val="678B58B0"/>
    <w:rsid w:val="67D363A2"/>
    <w:rsid w:val="683426D7"/>
    <w:rsid w:val="68437083"/>
    <w:rsid w:val="6880562B"/>
    <w:rsid w:val="689217A7"/>
    <w:rsid w:val="68A92B61"/>
    <w:rsid w:val="68B90918"/>
    <w:rsid w:val="690B56C7"/>
    <w:rsid w:val="694B066C"/>
    <w:rsid w:val="69654113"/>
    <w:rsid w:val="698C2B93"/>
    <w:rsid w:val="69D81A4D"/>
    <w:rsid w:val="6A687275"/>
    <w:rsid w:val="6A813E93"/>
    <w:rsid w:val="6AAF6EE8"/>
    <w:rsid w:val="6AD502F6"/>
    <w:rsid w:val="6B87623C"/>
    <w:rsid w:val="6BA442DD"/>
    <w:rsid w:val="6BC54253"/>
    <w:rsid w:val="6BE04BE9"/>
    <w:rsid w:val="6C4364A7"/>
    <w:rsid w:val="6C615D2A"/>
    <w:rsid w:val="6C985AA7"/>
    <w:rsid w:val="6D260D22"/>
    <w:rsid w:val="6D6925C0"/>
    <w:rsid w:val="6D8C79B4"/>
    <w:rsid w:val="6DB75720"/>
    <w:rsid w:val="6DF66DF1"/>
    <w:rsid w:val="6DFA1F9B"/>
    <w:rsid w:val="6E9F2B3A"/>
    <w:rsid w:val="6F1A6664"/>
    <w:rsid w:val="6FB14AA1"/>
    <w:rsid w:val="70473489"/>
    <w:rsid w:val="70514307"/>
    <w:rsid w:val="70700C31"/>
    <w:rsid w:val="70FD7917"/>
    <w:rsid w:val="712E63F7"/>
    <w:rsid w:val="714013BD"/>
    <w:rsid w:val="71EB654F"/>
    <w:rsid w:val="71F6391E"/>
    <w:rsid w:val="72337A39"/>
    <w:rsid w:val="729303E6"/>
    <w:rsid w:val="72D27981"/>
    <w:rsid w:val="72DA4A88"/>
    <w:rsid w:val="730451F1"/>
    <w:rsid w:val="73DD4830"/>
    <w:rsid w:val="748633B9"/>
    <w:rsid w:val="755C2313"/>
    <w:rsid w:val="7565471A"/>
    <w:rsid w:val="75E55C1E"/>
    <w:rsid w:val="76236772"/>
    <w:rsid w:val="76255CB5"/>
    <w:rsid w:val="76733229"/>
    <w:rsid w:val="771F0CBB"/>
    <w:rsid w:val="774820F5"/>
    <w:rsid w:val="7783749C"/>
    <w:rsid w:val="77906F16"/>
    <w:rsid w:val="77AB0CFA"/>
    <w:rsid w:val="78104AA8"/>
    <w:rsid w:val="7831024E"/>
    <w:rsid w:val="78482494"/>
    <w:rsid w:val="78615304"/>
    <w:rsid w:val="786B4FBE"/>
    <w:rsid w:val="78976656"/>
    <w:rsid w:val="78A551F0"/>
    <w:rsid w:val="78BF4DBF"/>
    <w:rsid w:val="78F609DB"/>
    <w:rsid w:val="791C3E2E"/>
    <w:rsid w:val="79353379"/>
    <w:rsid w:val="79856DD0"/>
    <w:rsid w:val="79982FA7"/>
    <w:rsid w:val="79A722B9"/>
    <w:rsid w:val="79BA3E45"/>
    <w:rsid w:val="79E7016D"/>
    <w:rsid w:val="79E9051C"/>
    <w:rsid w:val="7A1766C6"/>
    <w:rsid w:val="7A2B2D92"/>
    <w:rsid w:val="7A3F037C"/>
    <w:rsid w:val="7A554441"/>
    <w:rsid w:val="7A884DCA"/>
    <w:rsid w:val="7AF1296F"/>
    <w:rsid w:val="7AF4420D"/>
    <w:rsid w:val="7AF67F85"/>
    <w:rsid w:val="7B533629"/>
    <w:rsid w:val="7BB0282A"/>
    <w:rsid w:val="7BE0284E"/>
    <w:rsid w:val="7C031E65"/>
    <w:rsid w:val="7C255356"/>
    <w:rsid w:val="7C2E3EA1"/>
    <w:rsid w:val="7C384135"/>
    <w:rsid w:val="7C3F5E6A"/>
    <w:rsid w:val="7CC4499D"/>
    <w:rsid w:val="7CF25CED"/>
    <w:rsid w:val="7EF92BC4"/>
    <w:rsid w:val="7F3B240A"/>
    <w:rsid w:val="7F6000C3"/>
    <w:rsid w:val="7F875650"/>
    <w:rsid w:val="7F9B10FB"/>
    <w:rsid w:val="7FE370AA"/>
    <w:rsid w:val="7FF359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无间隔1"/>
    <w:next w:val="1"/>
    <w:qFormat/>
    <w:uiPriority w:val="1"/>
    <w:pPr>
      <w:widowControl w:val="0"/>
      <w:jc w:val="both"/>
    </w:pPr>
    <w:rPr>
      <w:rFonts w:ascii="Times New Roman" w:hAnsi="Times New Roman" w:eastAsia="宋体" w:cs="Times New Roman"/>
      <w:kern w:val="2"/>
      <w:sz w:val="21"/>
      <w:szCs w:val="24"/>
      <w:lang w:val="en-US" w:eastAsia="zh-CN" w:bidi="ar-SA"/>
    </w:r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nhideWhenUsed/>
    <w:qFormat/>
    <w:uiPriority w:val="99"/>
    <w:pPr>
      <w:widowControl/>
      <w:jc w:val="left"/>
    </w:pPr>
    <w:rPr>
      <w:rFonts w:ascii="宋体" w:hAnsi="宋体" w:eastAsia="宋体" w:cs="宋体"/>
      <w:kern w:val="0"/>
      <w:sz w:val="24"/>
      <w:szCs w:val="24"/>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标准文件_表格"/>
    <w:basedOn w:val="11"/>
    <w:qFormat/>
    <w:uiPriority w:val="0"/>
    <w:pPr>
      <w:ind w:firstLine="0" w:firstLineChars="0"/>
      <w:jc w:val="center"/>
    </w:pPr>
    <w:rPr>
      <w:sz w:val="18"/>
    </w:rPr>
  </w:style>
  <w:style w:type="paragraph" w:customStyle="1" w:styleId="11">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
    <w:name w:val="标准文件_附录表标题"/>
    <w:next w:val="11"/>
    <w:qFormat/>
    <w:uiPriority w:val="0"/>
    <w:pPr>
      <w:numPr>
        <w:ilvl w:val="1"/>
        <w:numId w:val="1"/>
      </w:numPr>
      <w:adjustRightInd w:val="0"/>
      <w:snapToGrid w:val="0"/>
      <w:spacing w:beforeLines="50" w:afterLines="50"/>
      <w:ind w:firstLine="420"/>
      <w:jc w:val="center"/>
      <w:textAlignment w:val="baseline"/>
    </w:pPr>
    <w:rPr>
      <w:rFonts w:ascii="黑体" w:hAnsi="Times New Roman" w:eastAsia="黑体" w:cs="Times New Roman"/>
      <w:kern w:val="21"/>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3623</Words>
  <Characters>3800</Characters>
  <Lines>0</Lines>
  <Paragraphs>0</Paragraphs>
  <TotalTime>39</TotalTime>
  <ScaleCrop>false</ScaleCrop>
  <LinksUpToDate>false</LinksUpToDate>
  <CharactersWithSpaces>3816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2023-03-07T07:23:00Z</dcterms:created>
  <dc:creator>feng</dc:creator>
  <cp:lastModifiedBy>东东</cp:lastModifiedBy>
  <dcterms:modified xsi:type="dcterms:W3CDTF">2023-04-28T03:41:44Z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464C500247A74D4ABA0BED122159E785</vt:lpwstr>
  </property>
</Properties>
</file>