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ind w:firstLine="640" w:firstLineChars="200"/>
        <w:rPr>
          <w:rFonts w:hint="eastAsia" w:ascii="仿宋_GB2312" w:hAnsi="仿宋_GB2312" w:eastAsia="仿宋_GB2312" w:cs="仿宋_GB2312"/>
          <w:color w:val="000000"/>
          <w:kern w:val="0"/>
          <w:sz w:val="32"/>
          <w:szCs w:val="32"/>
          <w:lang w:bidi="ar"/>
        </w:rPr>
      </w:pPr>
    </w:p>
    <w:tbl>
      <w:tblPr>
        <w:tblStyle w:val="4"/>
        <w:tblW w:w="8970" w:type="dxa"/>
        <w:tblInd w:w="93" w:type="dxa"/>
        <w:tblLayout w:type="autofit"/>
        <w:tblCellMar>
          <w:top w:w="0" w:type="dxa"/>
          <w:left w:w="108" w:type="dxa"/>
          <w:bottom w:w="0" w:type="dxa"/>
          <w:right w:w="108" w:type="dxa"/>
        </w:tblCellMar>
      </w:tblPr>
      <w:tblGrid>
        <w:gridCol w:w="660"/>
        <w:gridCol w:w="900"/>
        <w:gridCol w:w="1080"/>
        <w:gridCol w:w="5385"/>
        <w:gridCol w:w="945"/>
      </w:tblGrid>
      <w:tr>
        <w:tblPrEx>
          <w:tblCellMar>
            <w:top w:w="0" w:type="dxa"/>
            <w:left w:w="108" w:type="dxa"/>
            <w:bottom w:w="0" w:type="dxa"/>
            <w:right w:w="108" w:type="dxa"/>
          </w:tblCellMar>
        </w:tblPrEx>
        <w:trPr>
          <w:trHeight w:val="360" w:hRule="atLeast"/>
        </w:trPr>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序号</w:t>
            </w:r>
          </w:p>
        </w:tc>
        <w:tc>
          <w:tcPr>
            <w:tcW w:w="90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模块名称</w:t>
            </w:r>
          </w:p>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分项内容</w:t>
            </w:r>
          </w:p>
        </w:tc>
        <w:tc>
          <w:tcPr>
            <w:tcW w:w="5385"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服务内容说明</w:t>
            </w:r>
          </w:p>
        </w:tc>
        <w:tc>
          <w:tcPr>
            <w:tcW w:w="945"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报价</w:t>
            </w:r>
          </w:p>
        </w:tc>
      </w:tr>
      <w:tr>
        <w:tblPrEx>
          <w:tblCellMar>
            <w:top w:w="0" w:type="dxa"/>
            <w:left w:w="108" w:type="dxa"/>
            <w:bottom w:w="0" w:type="dxa"/>
            <w:right w:w="108" w:type="dxa"/>
          </w:tblCellMar>
        </w:tblPrEx>
        <w:trPr>
          <w:trHeight w:val="36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538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r>
      <w:tr>
        <w:tblPrEx>
          <w:tblCellMar>
            <w:top w:w="0" w:type="dxa"/>
            <w:left w:w="108" w:type="dxa"/>
            <w:bottom w:w="0" w:type="dxa"/>
            <w:right w:w="108" w:type="dxa"/>
          </w:tblCellMar>
        </w:tblPrEx>
        <w:trPr>
          <w:trHeight w:val="1200" w:hRule="atLeast"/>
        </w:trPr>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一</w:t>
            </w:r>
          </w:p>
        </w:tc>
        <w:tc>
          <w:tcPr>
            <w:tcW w:w="900" w:type="dxa"/>
            <w:vMerge w:val="restart"/>
            <w:tcBorders>
              <w:top w:val="single" w:color="000000" w:sz="4" w:space="0"/>
              <w:left w:val="single" w:color="000000" w:sz="4" w:space="0"/>
              <w:bottom w:val="nil"/>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平台功能拓展与优化</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平台版面优化服务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为扩展平台营销能力和平台活力，将首页进行重新规划、设计、改版，充分融合服务与营销的能力；为适应各季节特点，拟定每个季度对平台首页进行皮肤的元素改版服务。</w:t>
            </w:r>
          </w:p>
        </w:tc>
        <w:tc>
          <w:tcPr>
            <w:tcW w:w="945" w:type="dxa"/>
            <w:vMerge w:val="restart"/>
            <w:tcBorders>
              <w:top w:val="single" w:color="000000" w:sz="4" w:space="0"/>
              <w:left w:val="single" w:color="000000" w:sz="4" w:space="0"/>
              <w:right w:val="single" w:color="000000" w:sz="4" w:space="0"/>
            </w:tcBorders>
            <w:noWrap w:val="0"/>
            <w:vAlign w:val="center"/>
          </w:tcPr>
          <w:p>
            <w:pPr>
              <w:rPr>
                <w:rFonts w:hint="eastAsia" w:ascii="宋体" w:hAnsi="宋体" w:cs="宋体"/>
                <w:color w:val="000000"/>
                <w:sz w:val="24"/>
                <w:szCs w:val="24"/>
              </w:rPr>
            </w:pPr>
          </w:p>
        </w:tc>
      </w:tr>
      <w:tr>
        <w:tblPrEx>
          <w:tblCellMar>
            <w:top w:w="0" w:type="dxa"/>
            <w:left w:w="108" w:type="dxa"/>
            <w:bottom w:w="0" w:type="dxa"/>
            <w:right w:w="108" w:type="dxa"/>
          </w:tblCellMar>
        </w:tblPrEx>
        <w:trPr>
          <w:trHeight w:val="114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“乐游冀”支付宝小程序服务升级</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升级“乐游冀”支付宝小程序服务，新增线上电商服务，包括预约购票、酒店预订、旅游商品、线路预订等，依托支付宝的广泛客户群，面向全国用户通过小程序推广河北旅游，为游客提供游前、游中、游后全方位智慧化贴心服务。</w:t>
            </w:r>
          </w:p>
        </w:tc>
        <w:tc>
          <w:tcPr>
            <w:tcW w:w="945" w:type="dxa"/>
            <w:vMerge w:val="continue"/>
            <w:tcBorders>
              <w:left w:val="single" w:color="000000" w:sz="4" w:space="0"/>
              <w:right w:val="single" w:color="000000" w:sz="4" w:space="0"/>
            </w:tcBorders>
            <w:noWrap w:val="0"/>
            <w:vAlign w:val="center"/>
          </w:tcPr>
          <w:p>
            <w:pPr>
              <w:rPr>
                <w:rFonts w:hint="eastAsia" w:ascii="宋体" w:hAnsi="宋体" w:cs="宋体"/>
                <w:color w:val="000000"/>
                <w:sz w:val="24"/>
                <w:szCs w:val="24"/>
              </w:rPr>
            </w:pPr>
          </w:p>
        </w:tc>
      </w:tr>
      <w:tr>
        <w:tblPrEx>
          <w:tblCellMar>
            <w:top w:w="0" w:type="dxa"/>
            <w:left w:w="108" w:type="dxa"/>
            <w:bottom w:w="0" w:type="dxa"/>
            <w:right w:w="108" w:type="dxa"/>
          </w:tblCellMar>
        </w:tblPrEx>
        <w:trPr>
          <w:trHeight w:val="108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“乐游冀”字节小程序服务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新增“乐游冀”字节小程序服务，并同步实现“乐游冀”服务平台的相关服务功能，为游客提供河北文旅资讯、旅游攻略、文化艺术、游玩分享等的文旅服务以及预约购票、酒店预订、旅游商品、线路预订的线上电商服务。依托抖音短视频平台的广泛客户群，推广宣传河北省文旅资源，引流用户。</w:t>
            </w:r>
          </w:p>
        </w:tc>
        <w:tc>
          <w:tcPr>
            <w:tcW w:w="945" w:type="dxa"/>
            <w:vMerge w:val="continue"/>
            <w:tcBorders>
              <w:left w:val="single" w:color="000000" w:sz="4" w:space="0"/>
              <w:right w:val="single" w:color="000000" w:sz="4" w:space="0"/>
            </w:tcBorders>
            <w:noWrap w:val="0"/>
            <w:vAlign w:val="center"/>
          </w:tcPr>
          <w:p>
            <w:pPr>
              <w:rPr>
                <w:rFonts w:hint="eastAsia" w:ascii="宋体" w:hAnsi="宋体" w:cs="宋体"/>
                <w:color w:val="000000"/>
                <w:sz w:val="24"/>
                <w:szCs w:val="24"/>
              </w:rPr>
            </w:pPr>
          </w:p>
        </w:tc>
      </w:tr>
      <w:tr>
        <w:tblPrEx>
          <w:tblCellMar>
            <w:top w:w="0" w:type="dxa"/>
            <w:left w:w="108" w:type="dxa"/>
            <w:bottom w:w="0" w:type="dxa"/>
            <w:right w:w="108" w:type="dxa"/>
          </w:tblCellMar>
        </w:tblPrEx>
        <w:trPr>
          <w:trHeight w:val="108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景区端移动应用服务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在“乐游冀”平台为景区搭建数据服务通道，为景区开设账号，景区可以自主登录平台对景区的基本信息、开放时间等进行维护更新。</w:t>
            </w:r>
          </w:p>
        </w:tc>
        <w:tc>
          <w:tcPr>
            <w:tcW w:w="945" w:type="dxa"/>
            <w:vMerge w:val="continue"/>
            <w:tcBorders>
              <w:left w:val="single" w:color="000000" w:sz="4" w:space="0"/>
              <w:right w:val="single" w:color="000000" w:sz="4" w:space="0"/>
            </w:tcBorders>
            <w:noWrap w:val="0"/>
            <w:vAlign w:val="center"/>
          </w:tcPr>
          <w:p>
            <w:pPr>
              <w:rPr>
                <w:rFonts w:hint="eastAsia" w:ascii="宋体" w:hAnsi="宋体" w:cs="宋体"/>
                <w:color w:val="000000"/>
                <w:sz w:val="24"/>
                <w:szCs w:val="24"/>
              </w:rPr>
            </w:pPr>
          </w:p>
        </w:tc>
      </w:tr>
      <w:tr>
        <w:tblPrEx>
          <w:tblCellMar>
            <w:top w:w="0" w:type="dxa"/>
            <w:left w:w="108" w:type="dxa"/>
            <w:bottom w:w="0" w:type="dxa"/>
            <w:right w:w="108" w:type="dxa"/>
          </w:tblCellMar>
        </w:tblPrEx>
        <w:trPr>
          <w:trHeight w:val="57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数字乡村对接服务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提供数字乡村对接服务，提供数字乡村服务，乡村旅游线路、民宿推荐、农产品上架商城、抖音直播助农等。</w:t>
            </w:r>
          </w:p>
        </w:tc>
        <w:tc>
          <w:tcPr>
            <w:tcW w:w="945" w:type="dxa"/>
            <w:vMerge w:val="continue"/>
            <w:tcBorders>
              <w:left w:val="single" w:color="000000" w:sz="4" w:space="0"/>
              <w:right w:val="single" w:color="000000" w:sz="4" w:space="0"/>
            </w:tcBorders>
            <w:noWrap w:val="0"/>
            <w:vAlign w:val="center"/>
          </w:tcPr>
          <w:p>
            <w:pPr>
              <w:rPr>
                <w:rFonts w:hint="eastAsia" w:ascii="宋体" w:hAnsi="宋体" w:cs="宋体"/>
                <w:color w:val="000000"/>
                <w:sz w:val="24"/>
                <w:szCs w:val="24"/>
              </w:rPr>
            </w:pPr>
          </w:p>
        </w:tc>
      </w:tr>
      <w:tr>
        <w:tblPrEx>
          <w:tblCellMar>
            <w:top w:w="0" w:type="dxa"/>
            <w:left w:w="108" w:type="dxa"/>
            <w:bottom w:w="0" w:type="dxa"/>
            <w:right w:w="108" w:type="dxa"/>
          </w:tblCellMar>
        </w:tblPrEx>
        <w:trPr>
          <w:trHeight w:val="114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景区停车场车位数据对接及展示服务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在“乐游冀”平台新增景区停车场车位数据展示服务，对具备对接能力并可接入的景区，</w:t>
            </w:r>
            <w:r>
              <w:rPr>
                <w:rFonts w:hint="eastAsia" w:ascii="宋体" w:hAnsi="宋体" w:cs="宋体"/>
                <w:kern w:val="0"/>
                <w:sz w:val="22"/>
                <w:lang w:bidi="ar"/>
              </w:rPr>
              <w:t>展现停车场车位数据，并支持停车场的位置导航。</w:t>
            </w:r>
          </w:p>
        </w:tc>
        <w:tc>
          <w:tcPr>
            <w:tcW w:w="945" w:type="dxa"/>
            <w:vMerge w:val="continue"/>
            <w:tcBorders>
              <w:left w:val="single" w:color="000000" w:sz="4" w:space="0"/>
              <w:right w:val="single" w:color="000000" w:sz="4" w:space="0"/>
            </w:tcBorders>
            <w:noWrap w:val="0"/>
            <w:vAlign w:val="center"/>
          </w:tcPr>
          <w:p>
            <w:pPr>
              <w:rPr>
                <w:rFonts w:hint="eastAsia" w:ascii="宋体" w:hAnsi="宋体" w:cs="宋体"/>
                <w:color w:val="000000"/>
                <w:sz w:val="24"/>
                <w:szCs w:val="24"/>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4"/>
                <w:szCs w:val="24"/>
              </w:rPr>
            </w:pPr>
          </w:p>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分时预约升级服务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Style w:val="6"/>
                <w:rFonts w:hint="default"/>
                <w:lang w:bidi="ar"/>
              </w:rPr>
              <w:t>开发“乐游冀”闸机对接标准接口，提供景区、场馆闸机数据的接入服务；开发“乐游冀”预约多码核销功能，将随行人员单独生成预约码，通过身份证或预约码可以完成随行人员的单独核销。</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108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4"/>
                <w:szCs w:val="24"/>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4"/>
                <w:szCs w:val="24"/>
              </w:rPr>
            </w:pP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保障“乐游冀”分时预约系统的数据安全和运行，升级健康码对接服务，优化数据吞吐和并发能力；开发身份证核销接口，升级管理后台，实现数据导出功能。</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二</w:t>
            </w:r>
          </w:p>
        </w:tc>
        <w:tc>
          <w:tcPr>
            <w:tcW w:w="900" w:type="dxa"/>
            <w:vMerge w:val="restart"/>
            <w:tcBorders>
              <w:top w:val="single" w:color="000000" w:sz="4" w:space="0"/>
              <w:left w:val="single" w:color="000000" w:sz="4" w:space="0"/>
              <w:bottom w:val="nil"/>
              <w:right w:val="single" w:color="000000" w:sz="4" w:space="0"/>
            </w:tcBorders>
            <w:noWrap w:val="0"/>
            <w:vAlign w:val="center"/>
          </w:tcPr>
          <w:p>
            <w:pPr>
              <w:widowControl/>
              <w:jc w:val="center"/>
              <w:textAlignment w:val="center"/>
              <w:rPr>
                <w:rFonts w:hint="eastAsia" w:ascii="宋体" w:hAnsi="宋体" w:cs="宋体"/>
                <w:b/>
                <w:bCs/>
                <w:color w:val="000000"/>
                <w:sz w:val="22"/>
              </w:rPr>
            </w:pPr>
            <w:r>
              <w:rPr>
                <w:rFonts w:hint="eastAsia" w:ascii="宋体" w:hAnsi="宋体" w:cs="宋体"/>
                <w:b/>
                <w:bCs/>
                <w:color w:val="000000"/>
                <w:kern w:val="0"/>
                <w:sz w:val="22"/>
                <w:lang w:bidi="ar"/>
              </w:rPr>
              <w:t>平台内容生产与运营服务</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文旅资讯内容服务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提供</w:t>
            </w:r>
            <w:r>
              <w:rPr>
                <w:rFonts w:hint="eastAsia" w:ascii="宋体" w:hAnsi="宋体" w:cs="宋体"/>
                <w:kern w:val="0"/>
                <w:sz w:val="22"/>
                <w:lang w:bidi="ar"/>
              </w:rPr>
              <w:t>河北文旅资讯</w:t>
            </w:r>
            <w:r>
              <w:rPr>
                <w:rFonts w:hint="eastAsia" w:ascii="宋体" w:hAnsi="宋体" w:cs="宋体"/>
                <w:color w:val="000000"/>
                <w:kern w:val="0"/>
                <w:sz w:val="22"/>
                <w:lang w:bidi="ar"/>
              </w:rPr>
              <w:t>内容持续更新服务。</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旅游攻略内容服务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持续提供应季实时的河北旅游攻略内容服务，包括精选路线、乡村旅游、红色旅游、自驾出游、周末游、特色美食等攻略内容服务，以图文（或视频）的形式进行展现。</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108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智慧导航内容服务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Style w:val="6"/>
                <w:rFonts w:hint="default"/>
                <w:color w:val="auto"/>
                <w:lang w:bidi="ar"/>
              </w:rPr>
              <w:t>持续丰富完善“乐游冀”平台的导航服务内容，按季更新全省景区、厕所、停车场、加油站、酒店、商场、医院、文化场馆、公交站、超市、酒店民宿、餐饮、充电桩的公共服务设施的位置导航信息。</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文化艺术内容服务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提供全省文艺特色资源的内容持续更新服务，实现图文、音频、视频等多种方式的在线展示。</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VR河北内容服务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持续完善河北VR虚拟展示功能，丰富城市、景区、博物馆和旅游新业态等VR全景、语音讲解等服务内容。</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数字名片内容服务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持续提供与更新“乐游冀”平台城市名片、景区名片、美食名片等数字名片内容。</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108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自由行旅游线路推荐服务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提供应季更新的自由行旅游线路，并支持在线的景区预约购票、酒店预订，为游客提供一站式详尽的行程服务。</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游玩分享内容服务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持续提供应季的河北省游玩分享游记、攻略、小视频内容更新服务。</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旅游地图内容服务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重点景区智能导览地图：提供全省5A级旅游景区和重点</w:t>
            </w:r>
            <w:r>
              <w:rPr>
                <w:rFonts w:ascii="宋体" w:hAnsi="宋体" w:cs="宋体"/>
                <w:kern w:val="0"/>
                <w:sz w:val="22"/>
                <w:lang w:bidi="ar"/>
              </w:rPr>
              <w:t>4</w:t>
            </w:r>
            <w:r>
              <w:rPr>
                <w:rFonts w:hint="eastAsia" w:ascii="宋体" w:hAnsi="宋体" w:cs="宋体"/>
                <w:kern w:val="0"/>
                <w:sz w:val="22"/>
                <w:lang w:bidi="ar"/>
              </w:rPr>
              <w:t>A级旅游景区家的智能导览地图内容生产服务。</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135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非遗手绘地图内容服务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绘制河北省非遗手绘地图，形象生动的展示省内每个城市的非遗资源。借助新形式拓宽非遗传播渠道，促进人民群众对非遗的了解。</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重大节日内容资源宣传服务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实现重大节日、特色资源、重大活动等在“乐游冀”平台的推介展示服务，推价宣传展示内容全年不少于40次。</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1080" w:hRule="atLeast"/>
        </w:trPr>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三</w:t>
            </w:r>
          </w:p>
        </w:tc>
        <w:tc>
          <w:tcPr>
            <w:tcW w:w="90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rPr>
            </w:pPr>
            <w:r>
              <w:rPr>
                <w:rFonts w:hint="eastAsia" w:ascii="宋体" w:hAnsi="宋体" w:cs="宋体"/>
                <w:b/>
                <w:bCs/>
                <w:color w:val="000000"/>
                <w:kern w:val="0"/>
                <w:sz w:val="22"/>
                <w:lang w:bidi="ar"/>
              </w:rPr>
              <w:t>数据中心与数据分析服务</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省市分时预约数据监测平台服务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提供“乐游冀”分时预约数据监测、展示服务。</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108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“乐游冀”电商平台数据监测服务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提供“乐游冀”电商平台的数据监测服务，实现动态展示和分析。</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数据报告服务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提供“乐游冀”平台用户数据分析报告，以周报、月报、季报、年报的形式进行提供。</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四</w:t>
            </w:r>
          </w:p>
        </w:tc>
        <w:tc>
          <w:tcPr>
            <w:tcW w:w="90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rPr>
            </w:pPr>
            <w:r>
              <w:rPr>
                <w:rFonts w:hint="eastAsia" w:ascii="宋体" w:hAnsi="宋体" w:cs="宋体"/>
                <w:b/>
                <w:bCs/>
                <w:color w:val="000000"/>
                <w:kern w:val="0"/>
                <w:sz w:val="22"/>
                <w:lang w:bidi="ar"/>
              </w:rPr>
              <w:t>平台营销活动</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线上平台宣传推广服务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制定年度宣传推广计划，在传统媒体、新媒体渠道开展“乐游冀”平台宣传。</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108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电商产品营销服务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以市场方式提供“乐游冀”电商运营服务，文旅商品种类持续丰富，服务期内商品数量不少于11000个。</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客服服务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持续提供“乐游冀”平台客服服务，配置专属的客服热线电话与专业的客服人员，具备严谨的客服服务流程。</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平台电商及活动运营服务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基于“乐游冀”平台与其它资源、产品建立联系，为游客主动推送当地当季热销，促进转化。</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2"/>
              </w:rPr>
            </w:pP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加强与乐游冀抖音号联动，申请POI地理位置信息或挂载合作景区、酒店的POI信息，主推内容视频的相关产品，利用内容营销带动产品销售。</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2"/>
              </w:rPr>
            </w:pP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加强与金融机构合作，为游客提供优惠产品和优惠活动。</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2"/>
              </w:rPr>
            </w:pP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与景区、博物馆等进行多方合作，在“乐游冀”平台开发景区数字纪念票，用于景区数字文化资源传播。</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2"/>
              </w:rPr>
            </w:pP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开展不少于两次的产品征集活动，实现特色文旅产品推广，提高市场关注度。</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2"/>
              </w:rPr>
            </w:pP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设计“乐游冀”旅游日历，按照城市、景区的最佳游玩日期或节庆日期进行推荐，形成不同时间的河北特色旅游整体推荐。</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2"/>
              </w:rPr>
            </w:pP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sz w:val="22"/>
              </w:rPr>
            </w:pPr>
            <w:r>
              <w:rPr>
                <w:rFonts w:hint="eastAsia" w:ascii="宋体" w:hAnsi="宋体" w:cs="宋体"/>
                <w:kern w:val="0"/>
                <w:sz w:val="22"/>
                <w:lang w:bidi="ar"/>
              </w:rPr>
              <w:t>开通“乐游冀”支付宝生活号服务，可以动态展示平台的文旅资讯、攻略游记、发现河北、精品路线等服务，提升“乐游冀”的受众面和品牌。</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restart"/>
            <w:tcBorders>
              <w:top w:val="nil"/>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抖音平台推广服务</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对“乐游冀”抖音账号定位和风格塑造，持续更新旅游攻略、河北本地景区推荐、网络热门景点鉴定、重游古地共4类视频。</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27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000000"/>
                <w:sz w:val="22"/>
              </w:rPr>
            </w:pPr>
          </w:p>
        </w:tc>
        <w:tc>
          <w:tcPr>
            <w:tcW w:w="1080" w:type="dxa"/>
            <w:vMerge w:val="continue"/>
            <w:tcBorders>
              <w:top w:val="nil"/>
              <w:left w:val="single" w:color="000000" w:sz="4" w:space="0"/>
              <w:bottom w:val="single" w:color="000000" w:sz="4" w:space="0"/>
              <w:right w:val="single" w:color="000000" w:sz="4" w:space="0"/>
            </w:tcBorders>
            <w:noWrap w:val="0"/>
            <w:vAlign w:val="center"/>
          </w:tcPr>
          <w:p>
            <w:pPr>
              <w:jc w:val="center"/>
              <w:rPr>
                <w:rFonts w:hint="eastAsia" w:ascii="宋体" w:hAnsi="宋体" w:cs="宋体"/>
                <w:color w:val="000000"/>
                <w:sz w:val="22"/>
              </w:rPr>
            </w:pP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文旅直播服务和话题运营，持续宣传“乐游冀”和增加乐游冀抖音用户。</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540" w:hRule="atLeast"/>
        </w:trPr>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五</w:t>
            </w:r>
          </w:p>
        </w:tc>
        <w:tc>
          <w:tcPr>
            <w:tcW w:w="90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b/>
                <w:bCs/>
                <w:color w:val="000000"/>
                <w:sz w:val="22"/>
              </w:rPr>
            </w:pPr>
            <w:r>
              <w:rPr>
                <w:rFonts w:hint="eastAsia" w:ascii="宋体" w:hAnsi="宋体" w:cs="宋体"/>
                <w:b/>
                <w:bCs/>
                <w:color w:val="000000"/>
                <w:kern w:val="0"/>
                <w:sz w:val="22"/>
                <w:lang w:bidi="ar"/>
              </w:rPr>
              <w:t>运营团队要求</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场地要求</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提供“一部手机游河北”（乐游冀）运营中心办公场所，提供人员集中办公的软硬件设施，满足不少于30人同时现场办公的要求。</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810" w:hRule="atLeast"/>
        </w:trPr>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cs="宋体"/>
                <w:b/>
                <w:bCs/>
                <w:color w:val="000000"/>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cs="宋体"/>
                <w:b/>
                <w:bCs/>
                <w:color w:val="000000"/>
                <w:sz w:val="22"/>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团队要求</w:t>
            </w:r>
          </w:p>
        </w:tc>
        <w:tc>
          <w:tcPr>
            <w:tcW w:w="5385"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成立专业的运营团队，制定年度工作计划，明确团队职责分工。团队分工包括不限于内容采编、活动策划、技术维护、商务拓展等方面。参与此项目的人员须具有丰富的旅游行业实施经验和一定的学历基础。</w:t>
            </w:r>
          </w:p>
        </w:tc>
        <w:tc>
          <w:tcPr>
            <w:tcW w:w="945" w:type="dxa"/>
            <w:vMerge w:val="continue"/>
            <w:tcBorders>
              <w:left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108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b/>
                <w:bCs/>
                <w:color w:val="000000"/>
                <w:sz w:val="24"/>
                <w:szCs w:val="24"/>
              </w:rPr>
            </w:pPr>
            <w:r>
              <w:rPr>
                <w:rFonts w:hint="eastAsia" w:ascii="宋体" w:hAnsi="宋体" w:cs="宋体"/>
                <w:b/>
                <w:bCs/>
                <w:color w:val="000000"/>
                <w:kern w:val="0"/>
                <w:sz w:val="24"/>
                <w:szCs w:val="24"/>
                <w:lang w:bidi="ar"/>
              </w:rPr>
              <w:t>六</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b/>
                <w:bCs/>
                <w:color w:val="000000"/>
                <w:sz w:val="22"/>
              </w:rPr>
            </w:pPr>
            <w:r>
              <w:rPr>
                <w:rFonts w:hint="eastAsia" w:ascii="宋体" w:hAnsi="宋体" w:cs="宋体"/>
                <w:b/>
                <w:bCs/>
                <w:color w:val="000000"/>
                <w:kern w:val="0"/>
                <w:sz w:val="22"/>
                <w:lang w:bidi="ar"/>
              </w:rPr>
              <w:t>安全服务与法律风险防控要求</w:t>
            </w:r>
          </w:p>
        </w:tc>
        <w:tc>
          <w:tcPr>
            <w:tcW w:w="6465"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rPr>
            </w:pPr>
            <w:r>
              <w:rPr>
                <w:rFonts w:hint="eastAsia" w:ascii="宋体" w:hAnsi="宋体" w:cs="宋体"/>
                <w:color w:val="000000"/>
                <w:kern w:val="0"/>
                <w:sz w:val="22"/>
                <w:lang w:bidi="ar"/>
              </w:rPr>
              <w:t>建立综合安全服务体系，从网络、系统服务、信息和管理等方面保证整体安全。根据网络安全相关法规与制度，按照三级系统等级保护测评要求完成复测。保证对平台进行市场化运营，防控法律风险和纠纷。</w:t>
            </w:r>
          </w:p>
        </w:tc>
        <w:tc>
          <w:tcPr>
            <w:tcW w:w="945" w:type="dxa"/>
            <w:vMerge w:val="continue"/>
            <w:tcBorders>
              <w:left w:val="single" w:color="000000" w:sz="4" w:space="0"/>
              <w:bottom w:val="single" w:color="000000" w:sz="4" w:space="0"/>
              <w:right w:val="single" w:color="000000" w:sz="4" w:space="0"/>
            </w:tcBorders>
            <w:noWrap w:val="0"/>
            <w:vAlign w:val="center"/>
          </w:tcPr>
          <w:p>
            <w:pPr>
              <w:jc w:val="left"/>
              <w:rPr>
                <w:rFonts w:hint="eastAsia" w:ascii="宋体" w:hAnsi="宋体" w:cs="宋体"/>
                <w:color w:val="000000"/>
                <w:sz w:val="22"/>
              </w:rPr>
            </w:pPr>
          </w:p>
        </w:tc>
      </w:tr>
      <w:tr>
        <w:tblPrEx>
          <w:tblCellMar>
            <w:top w:w="0" w:type="dxa"/>
            <w:left w:w="108" w:type="dxa"/>
            <w:bottom w:w="0" w:type="dxa"/>
            <w:right w:w="108" w:type="dxa"/>
          </w:tblCellMar>
        </w:tblPrEx>
        <w:trPr>
          <w:trHeight w:val="499" w:hRule="atLeast"/>
        </w:trPr>
        <w:tc>
          <w:tcPr>
            <w:tcW w:w="8025" w:type="dxa"/>
            <w:gridSpan w:val="4"/>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总计</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cs="宋体"/>
                <w:color w:val="000000"/>
                <w:sz w:val="22"/>
              </w:rPr>
            </w:pPr>
          </w:p>
        </w:tc>
      </w:tr>
    </w:tbl>
    <w:p>
      <w:pPr>
        <w:pStyle w:val="2"/>
        <w:spacing w:line="560" w:lineRule="exact"/>
        <w:jc w:val="both"/>
        <w:rPr>
          <w:rFonts w:hint="eastAsia" w:ascii="仿宋_GB2312" w:hAnsi="仿宋_GB2312" w:eastAsia="仿宋_GB2312" w:cs="仿宋_GB2312"/>
          <w:b w:val="0"/>
          <w:bCs w:val="0"/>
          <w:color w:val="000000"/>
          <w:szCs w:val="32"/>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39D39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795"/>
      </w:tabs>
      <w:spacing w:line="0" w:lineRule="atLeast"/>
      <w:jc w:val="center"/>
    </w:pPr>
    <w:rPr>
      <w:rFonts w:ascii="宋体" w:hAnsi="宋体"/>
      <w:b/>
      <w:bCs/>
      <w:sz w:val="32"/>
    </w:rPr>
  </w:style>
  <w:style w:type="paragraph" w:styleId="3">
    <w:name w:val="toc 2"/>
    <w:basedOn w:val="1"/>
    <w:next w:val="1"/>
    <w:qFormat/>
    <w:uiPriority w:val="0"/>
    <w:pPr>
      <w:ind w:left="210"/>
      <w:jc w:val="left"/>
    </w:pPr>
    <w:rPr>
      <w:smallCaps/>
      <w:sz w:val="20"/>
      <w:szCs w:val="20"/>
    </w:rPr>
  </w:style>
  <w:style w:type="character" w:customStyle="1" w:styleId="6">
    <w:name w:val="font1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2022-05-26T10:05:37Z</dcterms:created>
  <dc:creator>Administrator</dc:creator>
  <cp:lastModifiedBy>Administrator</cp:lastModifiedBy>
  <dcterms:modified xsi:type="dcterms:W3CDTF">2022-05-26T10:05:47Z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FF2B5E8D57DA4C3D88BA68BD39D13B47</vt:lpwstr>
  </property>
</Properties>
</file>