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河北省文化和旅游厅</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中国农业银行河北省分行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kern w:val="2"/>
          <w:sz w:val="44"/>
          <w:szCs w:val="44"/>
          <w:lang w:val="en-US" w:eastAsia="zh-CN" w:bidi="ar-SA"/>
        </w:rPr>
      </w:pPr>
      <w:r>
        <w:rPr>
          <w:rFonts w:hint="eastAsia" w:ascii="方正小标宋简体" w:hAnsi="方正小标宋简体" w:eastAsia="方正小标宋简体" w:cs="方正小标宋简体"/>
          <w:b w:val="0"/>
          <w:bCs w:val="0"/>
          <w:color w:val="000000"/>
          <w:kern w:val="2"/>
          <w:sz w:val="44"/>
          <w:szCs w:val="44"/>
          <w:lang w:val="en-US" w:eastAsia="zh-CN" w:bidi="ar-SA"/>
        </w:rPr>
        <w:t>关于推动特色金融产品服务文化和旅游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kern w:val="2"/>
          <w:sz w:val="44"/>
          <w:szCs w:val="44"/>
          <w:lang w:val="en-US" w:eastAsia="zh-CN" w:bidi="ar-SA"/>
        </w:rPr>
      </w:pPr>
      <w:r>
        <w:rPr>
          <w:rFonts w:hint="eastAsia" w:ascii="方正小标宋简体" w:hAnsi="方正小标宋简体" w:eastAsia="方正小标宋简体" w:cs="方正小标宋简体"/>
          <w:b w:val="0"/>
          <w:bCs w:val="0"/>
          <w:color w:val="000000"/>
          <w:kern w:val="2"/>
          <w:sz w:val="44"/>
          <w:szCs w:val="44"/>
          <w:lang w:val="en-US" w:eastAsia="zh-CN" w:bidi="ar-SA"/>
        </w:rPr>
        <w:t>企业的通知</w:t>
      </w: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各市（含定州、辛集市）文化和旅游部门，雄安新区公共服务局，各市农业银行：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积极帮助文化和旅游企业纾困解难，缓解企业融资难题，省文化和旅游厅与中国农业银行河北省分行（以下简称“省农行”）深化合作，推出系列特色文化和旅游金融服务产品，助力文化和旅游企业发展，现将有关要求通知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lang w:eastAsia="zh-CN"/>
        </w:rPr>
      </w:pPr>
      <w:r>
        <w:rPr>
          <w:rFonts w:hint="eastAsia" w:ascii="黑体" w:hAnsi="黑体" w:eastAsia="黑体" w:cs="黑体"/>
          <w:b w:val="0"/>
          <w:bCs w:val="0"/>
          <w:sz w:val="32"/>
          <w:szCs w:val="22"/>
          <w:lang w:eastAsia="zh-CN"/>
        </w:rPr>
        <w:t>一、旅游景区开发建设贷款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旅游景区开发建设贷款是农业银行专门针对旅游景区发展研发设计的三农特色产品，最长期限可以达到建设期+20年。具备以下特点：</w:t>
      </w:r>
      <w:r>
        <w:rPr>
          <w:rFonts w:hint="eastAsia" w:ascii="仿宋_GB2312" w:hAnsi="仿宋_GB2312" w:eastAsia="仿宋_GB2312" w:cs="仿宋_GB2312"/>
          <w:b/>
          <w:bCs/>
          <w:sz w:val="32"/>
          <w:szCs w:val="32"/>
          <w:lang w:val="en-US" w:eastAsia="zh-CN"/>
        </w:rPr>
        <w:t>一是准入条件低。</w:t>
      </w:r>
      <w:r>
        <w:rPr>
          <w:rFonts w:hint="eastAsia" w:ascii="仿宋_GB2312" w:hAnsi="仿宋_GB2312" w:eastAsia="仿宋_GB2312" w:cs="仿宋_GB2312"/>
          <w:sz w:val="32"/>
          <w:szCs w:val="32"/>
          <w:lang w:val="en-US" w:eastAsia="zh-CN"/>
        </w:rPr>
        <w:t>3A级（含）以上旅游景区及符合条件的新建项目均可准入。</w:t>
      </w:r>
      <w:r>
        <w:rPr>
          <w:rFonts w:hint="eastAsia" w:ascii="仿宋_GB2312" w:hAnsi="仿宋_GB2312" w:eastAsia="仿宋_GB2312" w:cs="仿宋_GB2312"/>
          <w:b/>
          <w:bCs/>
          <w:sz w:val="32"/>
          <w:szCs w:val="32"/>
          <w:lang w:val="en-US" w:eastAsia="zh-CN"/>
        </w:rPr>
        <w:t>二是贷款用途广。</w:t>
      </w:r>
      <w:r>
        <w:rPr>
          <w:rFonts w:hint="eastAsia" w:ascii="仿宋_GB2312" w:hAnsi="仿宋_GB2312" w:eastAsia="仿宋_GB2312" w:cs="仿宋_GB2312"/>
          <w:sz w:val="32"/>
          <w:szCs w:val="32"/>
          <w:lang w:val="en-US" w:eastAsia="zh-CN"/>
        </w:rPr>
        <w:t>可用于景区自然资源开发，景区基础设施建设、景区内配套设施建设、旅游演艺设施建设、旅游景区及其配套服务开发建设和正常经营过程中产生的其他明确合理的资金需求。</w:t>
      </w:r>
      <w:r>
        <w:rPr>
          <w:rFonts w:hint="eastAsia" w:ascii="仿宋_GB2312" w:hAnsi="仿宋_GB2312" w:eastAsia="仿宋_GB2312" w:cs="仿宋_GB2312"/>
          <w:b/>
          <w:bCs/>
          <w:sz w:val="32"/>
          <w:szCs w:val="32"/>
          <w:lang w:val="en-US" w:eastAsia="zh-CN"/>
        </w:rPr>
        <w:t>三是贷款品种全。</w:t>
      </w:r>
      <w:r>
        <w:rPr>
          <w:rFonts w:hint="eastAsia" w:ascii="仿宋_GB2312" w:hAnsi="仿宋_GB2312" w:eastAsia="仿宋_GB2312" w:cs="仿宋_GB2312"/>
          <w:sz w:val="32"/>
          <w:szCs w:val="32"/>
          <w:lang w:val="en-US" w:eastAsia="zh-CN"/>
        </w:rPr>
        <w:t>可选贷款品种包括项目融资、固定资产贷款、流动资金贷款以及各类新兴信贷业务。四是担保方式多。除抵押、保证担保外还可采用4A级（含）以上景区收费权质押担保。</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ascii="黑体" w:hAnsi="黑体" w:eastAsia="黑体" w:cs="黑体"/>
          <w:b w:val="0"/>
          <w:bCs w:val="0"/>
          <w:sz w:val="32"/>
          <w:szCs w:val="22"/>
          <w:lang w:val="en-US" w:eastAsia="zh-CN"/>
        </w:rPr>
        <w:t>二、美丽家园建设贷款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美丽家园建设贷款是农业银行为推进全国乡村旅游重点村建设金融服务工作而创新制定的金融产品，具有以下特点：</w:t>
      </w:r>
      <w:r>
        <w:rPr>
          <w:rFonts w:hint="eastAsia" w:ascii="仿宋_GB2312" w:hAnsi="仿宋_GB2312" w:eastAsia="仿宋_GB2312" w:cs="仿宋_GB2312"/>
          <w:b/>
          <w:bCs/>
          <w:sz w:val="32"/>
          <w:szCs w:val="32"/>
          <w:lang w:val="en-US" w:eastAsia="zh-CN"/>
        </w:rPr>
        <w:t>一是贷款用途广泛。</w:t>
      </w:r>
      <w:r>
        <w:rPr>
          <w:rFonts w:hint="eastAsia" w:ascii="仿宋_GB2312" w:hAnsi="仿宋_GB2312" w:eastAsia="仿宋_GB2312" w:cs="仿宋_GB2312"/>
          <w:sz w:val="32"/>
          <w:szCs w:val="32"/>
          <w:lang w:val="en-US" w:eastAsia="zh-CN"/>
        </w:rPr>
        <w:t>除用于全国乡村旅游重点村辖属范围内餐饮、住宿、观光、购物、娱乐等经营项目以及其他基础设施建设外，还可用于置换借款人建设和运营乡村旅游项目形成的银行借款、其他负债性资金、以及项目资本金以外的其他自有资金。</w:t>
      </w:r>
      <w:r>
        <w:rPr>
          <w:rFonts w:hint="eastAsia" w:ascii="仿宋_GB2312" w:hAnsi="仿宋_GB2312" w:eastAsia="仿宋_GB2312" w:cs="仿宋_GB2312"/>
          <w:b/>
          <w:bCs/>
          <w:sz w:val="32"/>
          <w:szCs w:val="32"/>
          <w:lang w:val="en-US" w:eastAsia="zh-CN"/>
        </w:rPr>
        <w:t>二是贷款期限长。</w:t>
      </w:r>
      <w:r>
        <w:rPr>
          <w:rFonts w:hint="eastAsia" w:ascii="仿宋_GB2312" w:hAnsi="仿宋_GB2312" w:eastAsia="仿宋_GB2312" w:cs="仿宋_GB2312"/>
          <w:sz w:val="32"/>
          <w:szCs w:val="32"/>
          <w:lang w:val="en-US" w:eastAsia="zh-CN"/>
        </w:rPr>
        <w:t>贷款期限最长可达建设期+15年。担保方式灵活。除采用足值、有效的抵押和保证担保外，还可采用4A级（含）以上景区收费权质押担保，或引入政府增信机制。</w:t>
      </w:r>
      <w:r>
        <w:rPr>
          <w:rFonts w:hint="eastAsia" w:ascii="仿宋_GB2312" w:hAnsi="仿宋_GB2312" w:eastAsia="仿宋_GB2312" w:cs="仿宋_GB2312"/>
          <w:b/>
          <w:bCs/>
          <w:sz w:val="32"/>
          <w:szCs w:val="32"/>
          <w:lang w:val="en-US" w:eastAsia="zh-CN"/>
        </w:rPr>
        <w:t>三是还款来源渠道多。</w:t>
      </w:r>
      <w:r>
        <w:rPr>
          <w:rFonts w:hint="eastAsia" w:ascii="仿宋_GB2312" w:hAnsi="仿宋_GB2312" w:eastAsia="仿宋_GB2312" w:cs="仿宋_GB2312"/>
          <w:sz w:val="32"/>
          <w:szCs w:val="32"/>
          <w:lang w:val="en-US" w:eastAsia="zh-CN"/>
        </w:rPr>
        <w:t>项目自身经营收入、纳入预算的财政类资金或借款人的其他合法收入均可作为还款来源。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22"/>
          <w:lang w:val="en-US" w:eastAsia="zh-CN"/>
        </w:rPr>
      </w:pPr>
      <w:r>
        <w:rPr>
          <w:rFonts w:hint="eastAsia" w:ascii="黑体" w:hAnsi="黑体" w:eastAsia="黑体" w:cs="黑体"/>
          <w:b w:val="0"/>
          <w:bCs w:val="0"/>
          <w:sz w:val="32"/>
          <w:szCs w:val="22"/>
          <w:lang w:val="en-US" w:eastAsia="zh-CN"/>
        </w:rPr>
        <w:t>三、县域旅游景区收益权支持贷款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域旅游景区收益权支持贷款是农业银行独家推出的服务乡村振兴的特色旅游信贷产品，以优质高等级景区资产收益权所产生的持续稳定现金流作为直接还款来源，为满足借款人调整融资结构而发放的贷款。具有以下特色：</w:t>
      </w:r>
      <w:r>
        <w:rPr>
          <w:rFonts w:hint="eastAsia" w:ascii="仿宋_GB2312" w:hAnsi="仿宋_GB2312" w:eastAsia="仿宋_GB2312" w:cs="仿宋_GB2312"/>
          <w:b/>
          <w:bCs/>
          <w:sz w:val="32"/>
          <w:szCs w:val="32"/>
          <w:lang w:val="en-US" w:eastAsia="zh-CN"/>
        </w:rPr>
        <w:t>一是收益权范围大。</w:t>
      </w:r>
      <w:r>
        <w:rPr>
          <w:rFonts w:hint="eastAsia" w:ascii="仿宋_GB2312" w:hAnsi="仿宋_GB2312" w:eastAsia="仿宋_GB2312" w:cs="仿宋_GB2312"/>
          <w:sz w:val="32"/>
          <w:szCs w:val="32"/>
          <w:lang w:val="en-US" w:eastAsia="zh-CN"/>
        </w:rPr>
        <w:t>包括门票收入、索道收入、观光车收入、停车场收入、其他服务收入等。</w:t>
      </w:r>
      <w:r>
        <w:rPr>
          <w:rFonts w:hint="eastAsia" w:ascii="仿宋_GB2312" w:hAnsi="仿宋_GB2312" w:eastAsia="仿宋_GB2312" w:cs="仿宋_GB2312"/>
          <w:b/>
          <w:bCs/>
          <w:sz w:val="32"/>
          <w:szCs w:val="32"/>
          <w:lang w:val="en-US" w:eastAsia="zh-CN"/>
        </w:rPr>
        <w:t>二是贷款用途灵活。</w:t>
      </w:r>
      <w:r>
        <w:rPr>
          <w:rFonts w:hint="eastAsia" w:ascii="仿宋_GB2312" w:hAnsi="仿宋_GB2312" w:eastAsia="仿宋_GB2312" w:cs="仿宋_GB2312"/>
          <w:sz w:val="32"/>
          <w:szCs w:val="32"/>
          <w:lang w:val="en-US" w:eastAsia="zh-CN"/>
        </w:rPr>
        <w:t>可用于景区运行中产生的经营周转和固定资产投资活动中明确合理的资金需求。可用于置换银行贷款、置换其他债务性资金、置换项目资本金以外其他自有资金。</w:t>
      </w:r>
      <w:r>
        <w:rPr>
          <w:rFonts w:hint="eastAsia" w:ascii="仿宋_GB2312" w:hAnsi="仿宋_GB2312" w:eastAsia="仿宋_GB2312" w:cs="仿宋_GB2312"/>
          <w:b/>
          <w:bCs/>
          <w:sz w:val="32"/>
          <w:szCs w:val="32"/>
          <w:lang w:val="en-US" w:eastAsia="zh-CN"/>
        </w:rPr>
        <w:t>三是贷款额度最大化。</w:t>
      </w:r>
      <w:r>
        <w:rPr>
          <w:rFonts w:hint="eastAsia" w:ascii="仿宋_GB2312" w:hAnsi="仿宋_GB2312" w:eastAsia="仿宋_GB2312" w:cs="仿宋_GB2312"/>
          <w:sz w:val="32"/>
          <w:szCs w:val="32"/>
          <w:lang w:val="en-US" w:eastAsia="zh-CN"/>
        </w:rPr>
        <w:t>可以置换超过国家规定的项目资本金比例以外的其他各项资金，最高可达到景区投资额的70%。</w:t>
      </w:r>
      <w:r>
        <w:rPr>
          <w:rFonts w:hint="eastAsia" w:ascii="仿宋_GB2312" w:hAnsi="仿宋_GB2312" w:eastAsia="仿宋_GB2312" w:cs="仿宋_GB2312"/>
          <w:b/>
          <w:bCs/>
          <w:sz w:val="32"/>
          <w:szCs w:val="32"/>
          <w:lang w:val="en-US" w:eastAsia="zh-CN"/>
        </w:rPr>
        <w:t>四是还款期限长</w:t>
      </w:r>
      <w:r>
        <w:rPr>
          <w:rFonts w:hint="eastAsia" w:ascii="仿宋_GB2312" w:hAnsi="仿宋_GB2312" w:eastAsia="仿宋_GB2312" w:cs="仿宋_GB2312"/>
          <w:sz w:val="32"/>
          <w:szCs w:val="32"/>
          <w:lang w:val="en-US" w:eastAsia="zh-CN"/>
        </w:rPr>
        <w:t>。贷款期限最长可达20年。</w:t>
      </w:r>
      <w:r>
        <w:rPr>
          <w:rFonts w:hint="eastAsia" w:ascii="仿宋_GB2312" w:hAnsi="仿宋_GB2312" w:eastAsia="仿宋_GB2312" w:cs="仿宋_GB2312"/>
          <w:b/>
          <w:bCs/>
          <w:sz w:val="32"/>
          <w:szCs w:val="32"/>
          <w:lang w:val="en-US" w:eastAsia="zh-CN"/>
        </w:rPr>
        <w:t>五是还款方式灵活。</w:t>
      </w:r>
      <w:r>
        <w:rPr>
          <w:rFonts w:hint="eastAsia" w:ascii="仿宋_GB2312" w:hAnsi="仿宋_GB2312" w:eastAsia="仿宋_GB2312" w:cs="仿宋_GB2312"/>
          <w:sz w:val="32"/>
          <w:szCs w:val="32"/>
          <w:lang w:val="en-US" w:eastAsia="zh-CN"/>
        </w:rPr>
        <w:t>还款进度既可等额还本，也可前期还本少，后期还本多。</w:t>
      </w:r>
      <w:r>
        <w:rPr>
          <w:rFonts w:hint="eastAsia" w:ascii="仿宋_GB2312" w:hAnsi="仿宋_GB2312" w:eastAsia="仿宋_GB2312" w:cs="仿宋_GB2312"/>
          <w:b/>
          <w:bCs/>
          <w:sz w:val="32"/>
          <w:szCs w:val="32"/>
          <w:lang w:val="en-US" w:eastAsia="zh-CN"/>
        </w:rPr>
        <w:t>六是担保方式多样。</w:t>
      </w:r>
      <w:r>
        <w:rPr>
          <w:rFonts w:hint="eastAsia" w:ascii="仿宋_GB2312" w:hAnsi="仿宋_GB2312" w:eastAsia="仿宋_GB2312" w:cs="仿宋_GB2312"/>
          <w:sz w:val="32"/>
          <w:szCs w:val="32"/>
          <w:lang w:val="en-US" w:eastAsia="zh-CN"/>
        </w:rPr>
        <w:t>除可采用传统抵质押方式外，还可采用收费权质押、应收账款质押等方式。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6"/>
          <w:szCs w:val="36"/>
          <w:lang w:val="en-US" w:eastAsia="zh-CN"/>
        </w:rPr>
      </w:pPr>
      <w:r>
        <w:rPr>
          <w:rFonts w:hint="eastAsia" w:ascii="黑体" w:hAnsi="黑体" w:eastAsia="黑体" w:cs="黑体"/>
          <w:b w:val="0"/>
          <w:bCs w:val="0"/>
          <w:sz w:val="32"/>
          <w:szCs w:val="22"/>
          <w:lang w:val="en-US" w:eastAsia="zh-CN"/>
        </w:rPr>
        <w:t>四、PPP模式项目融资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针对自身收益较低的景区，在旅游基础设施建设和旅游景区环境整治等项目上所需资金，省农行以PPP项目融资模式推动社会资本方参与旅游景区项目建设,实现政银企三方合作共赢。具有以下特点：</w:t>
      </w:r>
      <w:r>
        <w:rPr>
          <w:rFonts w:hint="eastAsia" w:ascii="仿宋_GB2312" w:hAnsi="仿宋_GB2312" w:eastAsia="仿宋_GB2312" w:cs="仿宋_GB2312"/>
          <w:b/>
          <w:bCs/>
          <w:sz w:val="32"/>
          <w:szCs w:val="32"/>
          <w:lang w:val="en-US" w:eastAsia="zh-CN"/>
        </w:rPr>
        <w:t>一是用途范围广。</w:t>
      </w:r>
      <w:r>
        <w:rPr>
          <w:rFonts w:hint="eastAsia" w:ascii="仿宋_GB2312" w:hAnsi="仿宋_GB2312" w:eastAsia="仿宋_GB2312" w:cs="仿宋_GB2312"/>
          <w:sz w:val="32"/>
          <w:szCs w:val="32"/>
          <w:lang w:val="en-US" w:eastAsia="zh-CN"/>
        </w:rPr>
        <w:t>可用于全域旅游建设、旅游景区开发、旅游基础设施建设和旅游景区环境整治等。</w:t>
      </w:r>
      <w:r>
        <w:rPr>
          <w:rFonts w:hint="eastAsia" w:ascii="仿宋_GB2312" w:hAnsi="仿宋_GB2312" w:eastAsia="仿宋_GB2312" w:cs="仿宋_GB2312"/>
          <w:b/>
          <w:bCs/>
          <w:sz w:val="32"/>
          <w:szCs w:val="32"/>
          <w:lang w:val="en-US" w:eastAsia="zh-CN"/>
        </w:rPr>
        <w:t>二是产品组合多。</w:t>
      </w:r>
      <w:r>
        <w:rPr>
          <w:rFonts w:hint="eastAsia" w:ascii="仿宋_GB2312" w:hAnsi="仿宋_GB2312" w:eastAsia="仿宋_GB2312" w:cs="仿宋_GB2312"/>
          <w:sz w:val="32"/>
          <w:szCs w:val="32"/>
          <w:lang w:val="en-US" w:eastAsia="zh-CN"/>
        </w:rPr>
        <w:t>除项目融资贷款等传统类产品外，还可综合运用理财融资、产业基金、资产证券化、出具保函、开立信用证、国际结算以及融资方案设计等服务，全程参与PPP项目的策划、融资、建设和运营。</w:t>
      </w:r>
      <w:r>
        <w:rPr>
          <w:rFonts w:hint="eastAsia" w:ascii="仿宋_GB2312" w:hAnsi="仿宋_GB2312" w:eastAsia="仿宋_GB2312" w:cs="仿宋_GB2312"/>
          <w:b/>
          <w:bCs/>
          <w:sz w:val="32"/>
          <w:szCs w:val="32"/>
          <w:lang w:val="en-US" w:eastAsia="zh-CN"/>
        </w:rPr>
        <w:t>三是贷款期限长。</w:t>
      </w:r>
      <w:r>
        <w:rPr>
          <w:rFonts w:hint="eastAsia" w:ascii="仿宋_GB2312" w:hAnsi="仿宋_GB2312" w:eastAsia="仿宋_GB2312" w:cs="仿宋_GB2312"/>
          <w:sz w:val="32"/>
          <w:szCs w:val="32"/>
          <w:lang w:val="en-US" w:eastAsia="zh-CN"/>
        </w:rPr>
        <w:t>贷款期限可在特许经营权有效期内根据项目现金流情况合理设定，一般不超过20年。</w:t>
      </w:r>
      <w:r>
        <w:rPr>
          <w:rFonts w:hint="eastAsia" w:ascii="仿宋_GB2312" w:hAnsi="仿宋_GB2312" w:eastAsia="仿宋_GB2312" w:cs="仿宋_GB2312"/>
          <w:b/>
          <w:bCs/>
          <w:sz w:val="32"/>
          <w:szCs w:val="32"/>
          <w:lang w:val="en-US" w:eastAsia="zh-CN"/>
        </w:rPr>
        <w:t>四是担保模式新。</w:t>
      </w:r>
      <w:r>
        <w:rPr>
          <w:rFonts w:hint="eastAsia" w:ascii="仿宋_GB2312" w:hAnsi="仿宋_GB2312" w:eastAsia="仿宋_GB2312" w:cs="仿宋_GB2312"/>
          <w:sz w:val="32"/>
          <w:szCs w:val="32"/>
          <w:lang w:val="en-US" w:eastAsia="zh-CN"/>
        </w:rPr>
        <w:t>除抵押担保和保证担保外，还可确采用特许经营权或PPP协议项下未来预期收益权（景区收费权）等单独设定质押。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22"/>
          <w:lang w:val="en-US" w:eastAsia="zh-CN"/>
        </w:rPr>
      </w:pPr>
      <w:r>
        <w:rPr>
          <w:rFonts w:hint="eastAsia" w:ascii="黑体" w:hAnsi="黑体" w:eastAsia="黑体" w:cs="黑体"/>
          <w:b w:val="0"/>
          <w:bCs w:val="0"/>
          <w:sz w:val="32"/>
          <w:szCs w:val="22"/>
          <w:lang w:val="en-US" w:eastAsia="zh-CN"/>
        </w:rPr>
        <w:t>五、综合收银台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lang w:val="en-US" w:eastAsia="zh-CN"/>
        </w:rPr>
      </w:pPr>
      <w:r>
        <w:rPr>
          <w:rFonts w:hint="eastAsia" w:ascii="仿宋_GB2312" w:hAnsi="仿宋_GB2312" w:eastAsia="仿宋_GB2312" w:cs="仿宋_GB2312"/>
          <w:sz w:val="32"/>
          <w:lang w:val="en-US" w:eastAsia="zh-CN"/>
        </w:rPr>
        <w:t>针对旅游、演出等售票服务向线上渠道转移趋势，为满足景区多样化支付方式需求，农业银行研发推出综合收银台产品，可为景区提供集聚合支付、二级商户管理、资金清分结算等相关增值服务于一体的综合性支付结算解决方案。</w:t>
      </w:r>
      <w:r>
        <w:rPr>
          <w:rFonts w:hint="eastAsia" w:ascii="仿宋_GB2312" w:hAnsi="仿宋_GB2312" w:eastAsia="仿宋_GB2312" w:cs="仿宋_GB2312"/>
          <w:kern w:val="2"/>
          <w:sz w:val="32"/>
          <w:szCs w:val="40"/>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rPr>
          <w:rFonts w:hint="eastAsia" w:ascii="仿宋_GB2312" w:hAnsi="仿宋_GB2312" w:eastAsia="仿宋_GB2312" w:cs="仿宋_GB2312"/>
          <w:sz w:val="32"/>
          <w:lang w:val="en-US" w:eastAsia="zh-CN"/>
        </w:rPr>
      </w:pPr>
      <w:r>
        <w:rPr>
          <w:rFonts w:hint="eastAsia" w:ascii="仿宋_GB2312" w:hAnsi="仿宋_GB2312" w:eastAsia="仿宋_GB2312" w:cs="仿宋_GB2312"/>
          <w:kern w:val="2"/>
          <w:sz w:val="32"/>
          <w:szCs w:val="40"/>
          <w:lang w:val="en-US" w:eastAsia="zh-CN" w:bidi="ar-SA"/>
        </w:rPr>
        <w:t>请各市文化和旅游部门进一步加强与农业银行的合作，将以上特色金融产品传达至辖区内各文化和旅游企业，并对符合条件且有贷款意愿的企业，做好银企对接，</w:t>
      </w:r>
      <w:r>
        <w:rPr>
          <w:rFonts w:hint="eastAsia" w:ascii="仿宋_GB2312" w:hAnsi="仿宋_GB2312" w:eastAsia="仿宋_GB2312" w:cs="仿宋_GB2312"/>
          <w:b w:val="0"/>
          <w:bCs w:val="0"/>
          <w:sz w:val="32"/>
          <w:szCs w:val="32"/>
          <w:lang w:val="en-US" w:eastAsia="zh-CN"/>
        </w:rPr>
        <w:t>及时解决项目融资中的问题和困难，</w:t>
      </w:r>
      <w:r>
        <w:rPr>
          <w:rFonts w:hint="eastAsia" w:ascii="仿宋_GB2312" w:hAnsi="仿宋_GB2312" w:eastAsia="仿宋_GB2312" w:cs="仿宋_GB2312"/>
          <w:kern w:val="2"/>
          <w:sz w:val="32"/>
          <w:szCs w:val="40"/>
          <w:lang w:val="en-US" w:eastAsia="zh-CN" w:bidi="ar-SA"/>
        </w:rPr>
        <w:t>全力保障文化和旅游企业健康有序发展。</w:t>
      </w:r>
      <w:r>
        <w:rPr>
          <w:rFonts w:hint="eastAsia" w:ascii="仿宋_GB2312" w:hAnsi="仿宋_GB2312" w:eastAsia="仿宋_GB2312" w:cs="仿宋_GB2312"/>
          <w:sz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rPr>
          <w:rFonts w:hint="eastAsia" w:ascii="仿宋_GB2312" w:hAnsi="仿宋_GB2312" w:eastAsia="仿宋_GB2312" w:cs="仿宋_GB2312"/>
          <w:kern w:val="2"/>
          <w:sz w:val="32"/>
          <w:szCs w:val="40"/>
          <w:lang w:val="en-US" w:eastAsia="zh-CN" w:bidi="ar-SA"/>
        </w:rPr>
      </w:pPr>
      <w:r>
        <w:rPr>
          <w:rFonts w:hint="eastAsia" w:ascii="仿宋_GB2312" w:hAnsi="仿宋_GB2312" w:eastAsia="仿宋_GB2312" w:cs="仿宋_GB2312"/>
          <w:kern w:val="2"/>
          <w:sz w:val="32"/>
          <w:szCs w:val="40"/>
          <w:lang w:val="en-US" w:eastAsia="zh-CN" w:bidi="ar-SA"/>
        </w:rPr>
        <w:t xml:space="preserve">省文化和旅游厅联系人：李春雷 孙明帅0311-67967076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仿宋_GB2312" w:hAnsi="仿宋_GB2312" w:eastAsia="仿宋_GB2312" w:cs="仿宋_GB2312"/>
          <w:kern w:val="2"/>
          <w:sz w:val="32"/>
          <w:szCs w:val="40"/>
          <w:lang w:val="en-US" w:eastAsia="zh-CN" w:bidi="ar-SA"/>
        </w:rPr>
      </w:pPr>
      <w:r>
        <w:rPr>
          <w:rFonts w:hint="eastAsia" w:ascii="仿宋_GB2312" w:hAnsi="仿宋_GB2312" w:eastAsia="仿宋_GB2312" w:cs="仿宋_GB2312"/>
          <w:kern w:val="2"/>
          <w:sz w:val="32"/>
          <w:szCs w:val="40"/>
          <w:lang w:val="en-US" w:eastAsia="zh-CN" w:bidi="ar-SA"/>
        </w:rPr>
        <w:t>省农行联系人：郭 松  13931875223</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kern w:val="2"/>
          <w:sz w:val="32"/>
          <w:szCs w:val="40"/>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kern w:val="2"/>
          <w:sz w:val="32"/>
          <w:szCs w:val="40"/>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kern w:val="2"/>
          <w:sz w:val="32"/>
          <w:szCs w:val="40"/>
          <w:lang w:val="en-US" w:eastAsia="zh-CN" w:bidi="ar-SA"/>
        </w:rPr>
        <w:t xml:space="preserve"> </w:t>
      </w:r>
      <w:r>
        <w:rPr>
          <w:rFonts w:hint="eastAsia" w:ascii="仿宋_GB2312" w:hAnsi="仿宋_GB2312" w:eastAsia="仿宋_GB2312" w:cs="仿宋_GB2312"/>
          <w:sz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1280" w:firstLineChars="400"/>
        <w:jc w:val="both"/>
        <w:textAlignment w:val="auto"/>
        <w:outlineLvl w:val="9"/>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sz w:val="32"/>
          <w:lang w:val="en-US" w:eastAsia="zh-CN"/>
        </w:rPr>
        <w:t xml:space="preserve">河北省文化和旅游厅  </w:t>
      </w:r>
      <w:r>
        <w:rPr>
          <w:rFonts w:hint="eastAsia" w:ascii="仿宋_GB2312" w:hAnsi="仿宋_GB2312" w:eastAsia="仿宋_GB2312" w:cs="仿宋_GB2312"/>
          <w:kern w:val="2"/>
          <w:sz w:val="32"/>
          <w:szCs w:val="24"/>
          <w:lang w:val="en-US" w:eastAsia="zh-CN" w:bidi="ar-SA"/>
        </w:rPr>
        <w:t>中国农业银行河北省分行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 xml:space="preserve">                             2022年2月24</w:t>
      </w:r>
      <w:bookmarkStart w:id="0" w:name="_GoBack"/>
      <w:bookmarkEnd w:id="0"/>
      <w:r>
        <w:rPr>
          <w:rFonts w:hint="eastAsia" w:ascii="仿宋_GB2312" w:hAnsi="仿宋_GB2312" w:eastAsia="仿宋_GB2312" w:cs="仿宋_GB2312"/>
          <w:sz w:val="32"/>
          <w:lang w:val="en-US" w:eastAsia="zh-CN"/>
        </w:rPr>
        <w:t>日</w:t>
      </w:r>
    </w:p>
    <w:p>
      <w:pPr>
        <w:pStyle w:val="2"/>
        <w:rPr>
          <w:rFonts w:hint="default" w:ascii="黑体" w:hAnsi="黑体" w:eastAsia="黑体" w:cs="黑体"/>
          <w:sz w:val="36"/>
          <w:szCs w:val="36"/>
          <w:lang w:val="en-US" w:eastAsia="zh-CN"/>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rPr>
          <w:rFonts w:hint="eastAsia"/>
          <w:lang w:val="en-US" w:eastAsia="zh-CN"/>
        </w:rPr>
      </w:pPr>
    </w:p>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5F7A46"/>
    <w:rsid w:val="06A45DC7"/>
    <w:rsid w:val="17DC7372"/>
    <w:rsid w:val="36681115"/>
    <w:rsid w:val="43434AF1"/>
    <w:rsid w:val="525F7A46"/>
    <w:rsid w:val="63236959"/>
    <w:rsid w:val="65293406"/>
    <w:rsid w:val="77BF6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rPr>
      <w:rFonts w:ascii="宋体" w:hAnsi="宋体" w:eastAsia="宋体" w:cs="Times New Roman"/>
      <w:color w:val="000000"/>
      <w:szCs w:val="22"/>
    </w:rPr>
  </w:style>
  <w:style w:type="paragraph" w:styleId="3">
    <w:name w:val="Salutation"/>
    <w:basedOn w:val="1"/>
    <w:next w:val="1"/>
    <w:qFormat/>
    <w:uiPriority w:val="0"/>
    <w:rPr>
      <w:rFonts w:ascii="Times New Roman" w:hAnsi="Times New Roman" w:eastAsia="宋体" w:cs="Times New Roman"/>
    </w:rPr>
  </w:style>
  <w:style w:type="paragraph" w:styleId="4">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9"/>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2022-02-17T06:45:00Z</dcterms:created>
  <dc:creator>Administrator</dc:creator>
  <cp:lastModifiedBy>春雷</cp:lastModifiedBy>
  <dcterms:modified xsi:type="dcterms:W3CDTF">2022-02-24T00:52:55Z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E153D25A8E0B420CABB3C24D7B4A2A07</vt:lpwstr>
  </property>
</Properties>
</file>